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_GBK"/>
          <w:bCs/>
          <w:color w:val="0C0C0C"/>
          <w:kern w:val="0"/>
          <w:sz w:val="44"/>
          <w:szCs w:val="44"/>
          <w:shd w:val="clear" w:color="auto" w:fill="FFFFFF"/>
          <w:lang w:bidi="ar"/>
        </w:rPr>
      </w:pPr>
      <w:r>
        <w:rPr>
          <w:rFonts w:eastAsia="方正小标宋_GBK"/>
          <w:bCs/>
          <w:color w:val="0C0C0C"/>
          <w:kern w:val="0"/>
          <w:sz w:val="44"/>
          <w:szCs w:val="44"/>
          <w:shd w:val="clear" w:color="auto" w:fill="FFFFFF"/>
          <w:lang w:bidi="ar"/>
        </w:rPr>
        <w:t>南京市第五次全国经济普查公报（第五号）</w:t>
      </w:r>
    </w:p>
    <w:p>
      <w:pPr>
        <w:adjustRightInd w:val="0"/>
        <w:snapToGrid w:val="0"/>
        <w:spacing w:line="600" w:lineRule="exact"/>
        <w:jc w:val="center"/>
        <w:rPr>
          <w:rFonts w:eastAsia="楷体_GB2312"/>
          <w:bCs/>
          <w:color w:val="0C0C0C"/>
          <w:kern w:val="0"/>
          <w:szCs w:val="32"/>
          <w:shd w:val="clear" w:color="auto" w:fill="FFFFFF"/>
          <w:lang w:bidi="ar"/>
        </w:rPr>
      </w:pPr>
      <w:r>
        <w:rPr>
          <w:rFonts w:eastAsia="楷体_GB2312"/>
          <w:bCs/>
          <w:color w:val="0C0C0C"/>
          <w:kern w:val="0"/>
          <w:szCs w:val="32"/>
          <w:shd w:val="clear" w:color="auto" w:fill="FFFFFF"/>
          <w:lang w:bidi="ar"/>
        </w:rPr>
        <w:t>——第三产业基本情况之二</w:t>
      </w:r>
    </w:p>
    <w:p>
      <w:pPr>
        <w:adjustRightInd w:val="0"/>
        <w:snapToGrid w:val="0"/>
        <w:spacing w:line="600" w:lineRule="exact"/>
        <w:jc w:val="center"/>
        <w:rPr>
          <w:rFonts w:eastAsia="楷体_GB2312"/>
          <w:color w:val="0C0C0C"/>
          <w:szCs w:val="32"/>
        </w:rPr>
      </w:pPr>
      <w:r>
        <w:rPr>
          <w:rFonts w:eastAsia="楷体_GB2312"/>
          <w:color w:val="0C0C0C"/>
          <w:szCs w:val="32"/>
        </w:rPr>
        <w:t>南京市统计局</w:t>
      </w:r>
    </w:p>
    <w:p>
      <w:pPr>
        <w:pStyle w:val="7"/>
        <w:spacing w:line="500" w:lineRule="exact"/>
        <w:ind w:firstLine="0" w:firstLineChars="0"/>
        <w:jc w:val="center"/>
        <w:textAlignment w:val="baseline"/>
        <w:rPr>
          <w:rFonts w:eastAsia="楷体_GB2312"/>
          <w:color w:val="0C0C0C"/>
          <w:sz w:val="32"/>
          <w:szCs w:val="32"/>
        </w:rPr>
      </w:pPr>
      <w:r>
        <w:rPr>
          <w:rFonts w:eastAsia="楷体_GB2312"/>
          <w:color w:val="0C0C0C"/>
          <w:sz w:val="32"/>
          <w:szCs w:val="32"/>
        </w:rPr>
        <w:t>（2025年7月</w:t>
      </w:r>
      <w:r>
        <w:rPr>
          <w:rFonts w:hint="eastAsia" w:eastAsia="楷体_GB2312"/>
          <w:color w:val="0C0C0C"/>
          <w:sz w:val="32"/>
          <w:szCs w:val="32"/>
          <w:lang w:val="en-US" w:eastAsia="zh-CN"/>
        </w:rPr>
        <w:t>15</w:t>
      </w:r>
      <w:bookmarkStart w:id="0" w:name="_GoBack"/>
      <w:bookmarkEnd w:id="0"/>
      <w:r>
        <w:rPr>
          <w:rFonts w:eastAsia="楷体_GB2312"/>
          <w:color w:val="0C0C0C"/>
          <w:sz w:val="32"/>
          <w:szCs w:val="32"/>
        </w:rPr>
        <w:t>日）</w:t>
      </w:r>
    </w:p>
    <w:p>
      <w:pPr>
        <w:widowControl/>
        <w:spacing w:line="500" w:lineRule="exact"/>
        <w:rPr>
          <w:color w:val="0C0C0C"/>
          <w:sz w:val="36"/>
          <w:szCs w:val="36"/>
        </w:rPr>
      </w:pPr>
    </w:p>
    <w:p>
      <w:pPr>
        <w:pStyle w:val="7"/>
        <w:adjustRightInd w:val="0"/>
        <w:snapToGrid w:val="0"/>
        <w:spacing w:line="520" w:lineRule="exact"/>
        <w:ind w:firstLine="608"/>
        <w:rPr>
          <w:rFonts w:eastAsia="仿宋_GB2312"/>
          <w:color w:val="0C0C0C"/>
          <w:sz w:val="32"/>
          <w:szCs w:val="32"/>
        </w:rPr>
      </w:pPr>
      <w:r>
        <w:rPr>
          <w:rFonts w:eastAsia="仿宋_GB2312"/>
          <w:color w:val="0C0C0C"/>
          <w:spacing w:val="-6"/>
          <w:sz w:val="32"/>
          <w:szCs w:val="32"/>
        </w:rPr>
        <w:t>根据第五次全国经济普查结果，现将我市第三产业中科学研究和技术服务业，水利、环境和公共设施管理业，居民服务、修理和其他服务业，教育，卫生和社会工作，文化、体育和娱乐业，公共管理、社会保障和社会组织的主要数据公布如下：</w:t>
      </w:r>
    </w:p>
    <w:p>
      <w:pPr>
        <w:widowControl/>
        <w:adjustRightInd w:val="0"/>
        <w:snapToGrid w:val="0"/>
        <w:spacing w:line="520" w:lineRule="exact"/>
        <w:rPr>
          <w:color w:val="0C0C0C"/>
          <w:szCs w:val="32"/>
        </w:rPr>
      </w:pPr>
      <w:r>
        <w:rPr>
          <w:rFonts w:eastAsia="黑体"/>
          <w:bCs/>
          <w:color w:val="0C0C0C"/>
          <w:kern w:val="0"/>
          <w:szCs w:val="32"/>
          <w:lang w:bidi="ar"/>
        </w:rPr>
        <w:t xml:space="preserve">    一、科学研究和技术服务业</w:t>
      </w:r>
    </w:p>
    <w:p>
      <w:pPr>
        <w:widowControl/>
        <w:adjustRightInd w:val="0"/>
        <w:snapToGrid w:val="0"/>
        <w:spacing w:line="520" w:lineRule="exact"/>
        <w:rPr>
          <w:rFonts w:eastAsia="楷体_GB2312"/>
          <w:color w:val="0C0C0C"/>
          <w:kern w:val="0"/>
          <w:szCs w:val="32"/>
          <w:lang w:bidi="ar"/>
        </w:rPr>
      </w:pPr>
      <w:r>
        <w:rPr>
          <w:color w:val="0C0C0C"/>
          <w:kern w:val="0"/>
          <w:szCs w:val="32"/>
          <w:lang w:bidi="ar"/>
        </w:rPr>
        <w:t xml:space="preserve">    </w:t>
      </w:r>
      <w:r>
        <w:rPr>
          <w:rFonts w:eastAsia="楷体_GB2312"/>
          <w:color w:val="0C0C0C"/>
          <w:kern w:val="0"/>
          <w:szCs w:val="32"/>
          <w:lang w:bidi="ar"/>
        </w:rPr>
        <w:t>（一）法人单位数和从业人员</w:t>
      </w:r>
    </w:p>
    <w:p>
      <w:pPr>
        <w:widowControl/>
        <w:adjustRightInd w:val="0"/>
        <w:snapToGrid w:val="0"/>
        <w:spacing w:line="520" w:lineRule="exact"/>
        <w:rPr>
          <w:rFonts w:eastAsia="仿宋_GB2312"/>
          <w:color w:val="0C0C0C"/>
          <w:szCs w:val="32"/>
        </w:rPr>
      </w:pPr>
      <w:r>
        <w:rPr>
          <w:color w:val="0C0C0C"/>
          <w:kern w:val="0"/>
          <w:szCs w:val="32"/>
          <w:lang w:bidi="ar"/>
        </w:rPr>
        <w:t xml:space="preserve"> </w:t>
      </w:r>
      <w:r>
        <w:rPr>
          <w:rFonts w:eastAsia="仿宋_GB2312"/>
          <w:color w:val="0C0C0C"/>
          <w:kern w:val="0"/>
          <w:szCs w:val="32"/>
          <w:lang w:bidi="ar"/>
        </w:rPr>
        <w:t xml:space="preserve">   </w:t>
      </w:r>
      <w:r>
        <w:rPr>
          <w:rFonts w:eastAsia="仿宋_GB2312"/>
          <w:color w:val="0C0C0C"/>
          <w:spacing w:val="-6"/>
          <w:szCs w:val="32"/>
        </w:rPr>
        <w:t>2023年末，全市共有科学研究和技术服务业法人单位</w:t>
      </w:r>
      <w:r>
        <w:rPr>
          <w:rFonts w:eastAsia="仿宋_GB2312"/>
          <w:color w:val="0C0C0C"/>
          <w:szCs w:val="32"/>
        </w:rPr>
        <w:t>5.54万个，从业人员39.05万人，分别比2018年末增长150.7%和</w:t>
      </w:r>
      <w:r>
        <w:rPr>
          <w:rFonts w:eastAsia="仿宋_GB2312"/>
          <w:szCs w:val="32"/>
        </w:rPr>
        <w:t>49.2</w:t>
      </w:r>
      <w:r>
        <w:rPr>
          <w:rFonts w:eastAsia="仿宋_GB2312"/>
          <w:color w:val="0C0C0C"/>
          <w:szCs w:val="32"/>
        </w:rPr>
        <w:t>%</w:t>
      </w:r>
      <w:r>
        <w:rPr>
          <w:rFonts w:eastAsia="仿宋_GB2312"/>
          <w:color w:val="0C0C0C"/>
          <w:spacing w:val="-6"/>
          <w:szCs w:val="32"/>
        </w:rPr>
        <w:t>。其中，企业法人单位</w:t>
      </w:r>
      <w:r>
        <w:rPr>
          <w:rFonts w:eastAsia="仿宋_GB2312"/>
          <w:color w:val="0C0C0C"/>
          <w:kern w:val="0"/>
          <w:szCs w:val="32"/>
          <w:vertAlign w:val="superscript"/>
          <w:lang w:bidi="ar"/>
        </w:rPr>
        <w:footnoteReference w:id="0"/>
      </w:r>
      <w:r>
        <w:rPr>
          <w:rFonts w:eastAsia="仿宋_GB2312"/>
          <w:color w:val="0C0C0C"/>
          <w:szCs w:val="32"/>
        </w:rPr>
        <w:t>5.49万个，从业人员36.94万人，分别比2018年末增长154.0%和58.7%</w:t>
      </w:r>
      <w:r>
        <w:rPr>
          <w:rFonts w:eastAsia="仿宋_GB2312"/>
          <w:color w:val="0C0C0C"/>
          <w:spacing w:val="-6"/>
          <w:szCs w:val="32"/>
        </w:rPr>
        <w:t>（详见表5-1）。</w:t>
      </w:r>
    </w:p>
    <w:p>
      <w:pPr>
        <w:widowControl/>
        <w:spacing w:before="173" w:beforeLines="30" w:line="320" w:lineRule="exact"/>
        <w:jc w:val="center"/>
        <w:rPr>
          <w:rFonts w:eastAsia="宋体"/>
          <w:b/>
          <w:color w:val="0C0C0C"/>
          <w:kern w:val="0"/>
          <w:sz w:val="24"/>
          <w:lang w:bidi="ar"/>
        </w:rPr>
      </w:pPr>
      <w:r>
        <w:rPr>
          <w:rFonts w:eastAsia="宋体"/>
          <w:b/>
          <w:color w:val="0C0C0C"/>
          <w:kern w:val="0"/>
          <w:sz w:val="24"/>
          <w:lang w:bidi="ar"/>
        </w:rPr>
        <w:t>表5-1　按行业大类分组的科学研究和技术服务业</w:t>
      </w:r>
    </w:p>
    <w:p>
      <w:pPr>
        <w:widowControl/>
        <w:spacing w:line="320" w:lineRule="exact"/>
        <w:jc w:val="center"/>
        <w:rPr>
          <w:rFonts w:eastAsia="宋体"/>
          <w:b/>
          <w:color w:val="0C0C0C"/>
          <w:kern w:val="0"/>
          <w:sz w:val="28"/>
          <w:szCs w:val="28"/>
          <w:lang w:bidi="ar"/>
        </w:rPr>
      </w:pPr>
      <w:r>
        <w:rPr>
          <w:rFonts w:eastAsia="宋体"/>
          <w:b/>
          <w:color w:val="0C0C0C"/>
          <w:kern w:val="0"/>
          <w:sz w:val="24"/>
          <w:lang w:bidi="ar"/>
        </w:rPr>
        <w:t>企业法人单位数和从业人员</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035"/>
        <w:gridCol w:w="3088"/>
        <w:gridCol w:w="25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035" w:type="dxa"/>
            <w:tcBorders>
              <w:top w:val="single" w:color="auto" w:sz="12" w:space="0"/>
              <w:left w:val="nil"/>
              <w:bottom w:val="single" w:color="auto" w:sz="4" w:space="0"/>
              <w:right w:val="single" w:color="auto" w:sz="4" w:space="0"/>
            </w:tcBorders>
            <w:vAlign w:val="center"/>
          </w:tcPr>
          <w:p>
            <w:pPr>
              <w:widowControl/>
              <w:spacing w:line="320" w:lineRule="exact"/>
              <w:jc w:val="center"/>
              <w:rPr>
                <w:rFonts w:eastAsia="宋体"/>
                <w:color w:val="0C0C0C"/>
                <w:sz w:val="21"/>
                <w:szCs w:val="21"/>
              </w:rPr>
            </w:pPr>
          </w:p>
        </w:tc>
        <w:tc>
          <w:tcPr>
            <w:tcW w:w="3088"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2551" w:type="dxa"/>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35" w:type="dxa"/>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3088"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54941</w:t>
            </w:r>
          </w:p>
        </w:tc>
        <w:tc>
          <w:tcPr>
            <w:tcW w:w="2551" w:type="dxa"/>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36.94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35"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研究和试验发展</w:t>
            </w:r>
          </w:p>
        </w:tc>
        <w:tc>
          <w:tcPr>
            <w:tcW w:w="3088"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11164</w:t>
            </w:r>
          </w:p>
        </w:tc>
        <w:tc>
          <w:tcPr>
            <w:tcW w:w="2551" w:type="dxa"/>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6.59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35"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专业技术服务业</w:t>
            </w:r>
          </w:p>
        </w:tc>
        <w:tc>
          <w:tcPr>
            <w:tcW w:w="3088"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24418</w:t>
            </w:r>
          </w:p>
        </w:tc>
        <w:tc>
          <w:tcPr>
            <w:tcW w:w="2551" w:type="dxa"/>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22.63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035" w:type="dxa"/>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科技推广和应用服务业</w:t>
            </w:r>
          </w:p>
        </w:tc>
        <w:tc>
          <w:tcPr>
            <w:tcW w:w="3088"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19359</w:t>
            </w:r>
          </w:p>
        </w:tc>
        <w:tc>
          <w:tcPr>
            <w:tcW w:w="2551" w:type="dxa"/>
            <w:tcBorders>
              <w:top w:val="nil"/>
              <w:left w:val="single" w:color="auto" w:sz="4" w:space="0"/>
              <w:bottom w:val="single" w:color="auto" w:sz="12" w:space="0"/>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7.72</w:t>
            </w:r>
          </w:p>
        </w:tc>
      </w:tr>
    </w:tbl>
    <w:p>
      <w:pPr>
        <w:widowControl/>
        <w:adjustRightInd w:val="0"/>
        <w:snapToGrid w:val="0"/>
        <w:spacing w:line="520" w:lineRule="exact"/>
        <w:rPr>
          <w:rFonts w:eastAsia="仿宋_GB2312"/>
          <w:color w:val="0C0C0C"/>
          <w:spacing w:val="-6"/>
          <w:szCs w:val="32"/>
        </w:rPr>
      </w:pPr>
      <w:r>
        <w:rPr>
          <w:rFonts w:eastAsia="仿宋_GB2312"/>
          <w:color w:val="0C0C0C"/>
          <w:spacing w:val="-6"/>
          <w:sz w:val="36"/>
          <w:szCs w:val="36"/>
        </w:rPr>
        <w:t xml:space="preserve">   </w:t>
      </w:r>
      <w:r>
        <w:rPr>
          <w:rFonts w:eastAsia="仿宋_GB2312"/>
          <w:color w:val="0C0C0C"/>
          <w:spacing w:val="-6"/>
          <w:szCs w:val="32"/>
        </w:rPr>
        <w:t xml:space="preserve"> 在科学研究和技术服务业企业法人单位中，内资企业占</w:t>
      </w:r>
      <w:r>
        <w:rPr>
          <w:rFonts w:eastAsia="仿宋_GB2312"/>
          <w:color w:val="0C0C0C"/>
          <w:szCs w:val="32"/>
        </w:rPr>
        <w:t>98.8%，港澳台投资企业占0.4%，外商投资企业占0.6%</w:t>
      </w:r>
      <w:r>
        <w:rPr>
          <w:rFonts w:eastAsia="仿宋_GB2312"/>
          <w:color w:val="0C0C0C"/>
          <w:spacing w:val="-6"/>
          <w:szCs w:val="32"/>
        </w:rPr>
        <w:t>。</w:t>
      </w:r>
    </w:p>
    <w:p>
      <w:pPr>
        <w:widowControl/>
        <w:adjustRightInd w:val="0"/>
        <w:snapToGrid w:val="0"/>
        <w:spacing w:line="520" w:lineRule="exact"/>
        <w:rPr>
          <w:rFonts w:eastAsia="仿宋_GB2312"/>
          <w:color w:val="0C0C0C"/>
          <w:spacing w:val="-6"/>
          <w:szCs w:val="32"/>
        </w:rPr>
      </w:pPr>
      <w:r>
        <w:rPr>
          <w:rFonts w:eastAsia="仿宋_GB2312"/>
          <w:color w:val="0C0C0C"/>
          <w:spacing w:val="-6"/>
          <w:szCs w:val="32"/>
        </w:rPr>
        <w:t xml:space="preserve">    在科学研究和技术服务业企业法人单位从业人员中，内资企业占</w:t>
      </w:r>
      <w:r>
        <w:rPr>
          <w:rFonts w:eastAsia="仿宋_GB2312"/>
          <w:color w:val="0C0C0C"/>
          <w:szCs w:val="32"/>
        </w:rPr>
        <w:t>97.5%，港澳台投资企业占0.8%，外商投资企业占1.6%</w:t>
      </w:r>
      <w:r>
        <w:rPr>
          <w:rFonts w:eastAsia="仿宋_GB2312"/>
          <w:color w:val="0C0C0C"/>
          <w:spacing w:val="-6"/>
          <w:szCs w:val="32"/>
        </w:rPr>
        <w:t>（详见表5-2）。</w:t>
      </w:r>
    </w:p>
    <w:p>
      <w:pPr>
        <w:widowControl/>
        <w:spacing w:before="173" w:beforeLines="30" w:line="320" w:lineRule="exact"/>
        <w:jc w:val="center"/>
        <w:rPr>
          <w:rFonts w:eastAsia="宋体"/>
          <w:b/>
          <w:color w:val="0C0C0C"/>
          <w:kern w:val="0"/>
          <w:sz w:val="24"/>
          <w:lang w:bidi="ar"/>
        </w:rPr>
      </w:pPr>
      <w:r>
        <w:rPr>
          <w:rFonts w:eastAsia="宋体"/>
          <w:b/>
          <w:color w:val="0C0C0C"/>
          <w:kern w:val="0"/>
          <w:sz w:val="24"/>
          <w:lang w:bidi="ar"/>
        </w:rPr>
        <w:t>表5-2　按登记注册统计类别分组的科学研究和技术服务业</w:t>
      </w:r>
    </w:p>
    <w:p>
      <w:pPr>
        <w:widowControl/>
        <w:spacing w:line="32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414"/>
        <w:gridCol w:w="2988"/>
        <w:gridCol w:w="243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1931" w:type="pct"/>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p>
        </w:tc>
        <w:tc>
          <w:tcPr>
            <w:tcW w:w="1690"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379"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690"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54941</w:t>
            </w:r>
          </w:p>
        </w:tc>
        <w:tc>
          <w:tcPr>
            <w:tcW w:w="1379"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36.94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690"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54290</w:t>
            </w:r>
          </w:p>
        </w:tc>
        <w:tc>
          <w:tcPr>
            <w:tcW w:w="1379"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36.02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val="en" w:bidi="ar"/>
              </w:rPr>
              <w:t>港澳台</w:t>
            </w:r>
            <w:r>
              <w:rPr>
                <w:rFonts w:eastAsia="宋体"/>
                <w:bCs/>
                <w:color w:val="0C0C0C"/>
                <w:kern w:val="0"/>
                <w:sz w:val="21"/>
                <w:szCs w:val="21"/>
                <w:lang w:bidi="ar"/>
              </w:rPr>
              <w:t>投资企业</w:t>
            </w:r>
          </w:p>
        </w:tc>
        <w:tc>
          <w:tcPr>
            <w:tcW w:w="1690"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206</w:t>
            </w:r>
          </w:p>
        </w:tc>
        <w:tc>
          <w:tcPr>
            <w:tcW w:w="1379"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0.31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690"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338</w:t>
            </w:r>
          </w:p>
        </w:tc>
        <w:tc>
          <w:tcPr>
            <w:tcW w:w="1379"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0.60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31"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690"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107</w:t>
            </w:r>
          </w:p>
        </w:tc>
        <w:tc>
          <w:tcPr>
            <w:tcW w:w="1379"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0.02</w:t>
            </w:r>
          </w:p>
        </w:tc>
      </w:tr>
    </w:tbl>
    <w:p>
      <w:pPr>
        <w:widowControl/>
        <w:adjustRightInd w:val="0"/>
        <w:spacing w:line="520" w:lineRule="exact"/>
        <w:rPr>
          <w:rFonts w:eastAsia="楷体_GB2312"/>
          <w:color w:val="0C0C0C"/>
          <w:kern w:val="0"/>
          <w:szCs w:val="32"/>
          <w:lang w:bidi="ar"/>
        </w:rPr>
      </w:pPr>
      <w:r>
        <w:rPr>
          <w:rFonts w:eastAsia="楷体_GB2312"/>
          <w:color w:val="0C0C0C"/>
          <w:kern w:val="0"/>
          <w:sz w:val="36"/>
          <w:szCs w:val="36"/>
          <w:lang w:bidi="ar"/>
        </w:rPr>
        <w:t xml:space="preserve">   </w:t>
      </w:r>
      <w:r>
        <w:rPr>
          <w:rFonts w:eastAsia="楷体_GB2312"/>
          <w:color w:val="0C0C0C"/>
          <w:kern w:val="0"/>
          <w:szCs w:val="32"/>
          <w:lang w:bidi="ar"/>
        </w:rPr>
        <w:t>（二）主要经济指标</w:t>
      </w:r>
    </w:p>
    <w:p>
      <w:pPr>
        <w:widowControl/>
        <w:adjustRightInd w:val="0"/>
        <w:spacing w:line="520" w:lineRule="exact"/>
        <w:rPr>
          <w:rFonts w:eastAsia="仿宋_GB2312"/>
          <w:color w:val="0C0C0C"/>
          <w:spacing w:val="-6"/>
          <w:szCs w:val="32"/>
        </w:rPr>
      </w:pPr>
      <w:r>
        <w:rPr>
          <w:color w:val="0C0C0C"/>
          <w:spacing w:val="-6"/>
          <w:szCs w:val="32"/>
        </w:rPr>
        <w:t xml:space="preserve">  </w:t>
      </w:r>
      <w:r>
        <w:rPr>
          <w:rFonts w:eastAsia="仿宋_GB2312"/>
          <w:color w:val="0C0C0C"/>
          <w:spacing w:val="-6"/>
          <w:szCs w:val="32"/>
        </w:rPr>
        <w:t xml:space="preserve">  2023年末，科学研究和技术服务业企业法人单位资产总计</w:t>
      </w:r>
      <w:r>
        <w:rPr>
          <w:rFonts w:eastAsia="仿宋_GB2312"/>
          <w:color w:val="0C0C0C"/>
          <w:szCs w:val="32"/>
        </w:rPr>
        <w:t>8197.39亿元，比2018年末增长80.0%；负债合计4230.82亿元，比2018年末增长81.1%</w:t>
      </w:r>
      <w:r>
        <w:rPr>
          <w:rFonts w:eastAsia="仿宋_GB2312"/>
          <w:color w:val="0C0C0C"/>
          <w:spacing w:val="-6"/>
          <w:szCs w:val="32"/>
        </w:rPr>
        <w:t>。</w:t>
      </w:r>
    </w:p>
    <w:p>
      <w:pPr>
        <w:widowControl/>
        <w:adjustRightInd w:val="0"/>
        <w:spacing w:line="520" w:lineRule="exact"/>
        <w:rPr>
          <w:rFonts w:eastAsia="仿宋_GB2312"/>
          <w:color w:val="0C0C0C"/>
          <w:spacing w:val="-6"/>
          <w:szCs w:val="32"/>
        </w:rPr>
      </w:pPr>
      <w:r>
        <w:rPr>
          <w:rFonts w:eastAsia="仿宋_GB2312"/>
          <w:color w:val="0C0C0C"/>
          <w:spacing w:val="-6"/>
          <w:szCs w:val="32"/>
        </w:rPr>
        <w:t xml:space="preserve">    2023年，科学研究和技术服务业企业法人单位实现营业收入</w:t>
      </w:r>
      <w:r>
        <w:rPr>
          <w:rFonts w:eastAsia="仿宋_GB2312"/>
          <w:color w:val="0C0C0C"/>
          <w:szCs w:val="32"/>
        </w:rPr>
        <w:t>2365.86亿元，比2018年增长</w:t>
      </w:r>
      <w:r>
        <w:rPr>
          <w:rFonts w:eastAsia="仿宋_GB2312"/>
          <w:szCs w:val="32"/>
        </w:rPr>
        <w:t>76.8</w:t>
      </w:r>
      <w:r>
        <w:rPr>
          <w:rFonts w:eastAsia="仿宋_GB2312"/>
          <w:color w:val="0C0C0C"/>
          <w:szCs w:val="32"/>
        </w:rPr>
        <w:t>%</w:t>
      </w:r>
      <w:r>
        <w:rPr>
          <w:rFonts w:eastAsia="仿宋_GB2312"/>
          <w:color w:val="0C0C0C"/>
          <w:spacing w:val="-6"/>
          <w:szCs w:val="32"/>
        </w:rPr>
        <w:t>（详见表5-3）。</w:t>
      </w:r>
    </w:p>
    <w:p>
      <w:pPr>
        <w:widowControl/>
        <w:spacing w:before="173" w:beforeLines="30" w:line="320" w:lineRule="exact"/>
        <w:jc w:val="center"/>
        <w:rPr>
          <w:rFonts w:eastAsia="宋体"/>
          <w:b/>
          <w:color w:val="0C0C0C"/>
          <w:kern w:val="0"/>
          <w:sz w:val="24"/>
          <w:lang w:bidi="ar"/>
        </w:rPr>
      </w:pPr>
      <w:r>
        <w:rPr>
          <w:rFonts w:eastAsia="宋体"/>
          <w:b/>
          <w:color w:val="0C0C0C"/>
          <w:kern w:val="0"/>
          <w:sz w:val="24"/>
          <w:lang w:bidi="ar"/>
        </w:rPr>
        <w:t>表5-3　按行业大类分组的科学研究和技术服务业</w:t>
      </w:r>
    </w:p>
    <w:p>
      <w:pPr>
        <w:widowControl/>
        <w:spacing w:line="320" w:lineRule="exact"/>
        <w:jc w:val="center"/>
        <w:rPr>
          <w:rFonts w:eastAsia="宋体"/>
          <w:b/>
          <w:color w:val="0C0C0C"/>
          <w:kern w:val="0"/>
          <w:sz w:val="24"/>
          <w:lang w:bidi="ar"/>
        </w:rPr>
      </w:pPr>
      <w:r>
        <w:rPr>
          <w:rFonts w:eastAsia="宋体"/>
          <w:b/>
          <w:color w:val="0C0C0C"/>
          <w:kern w:val="0"/>
          <w:sz w:val="24"/>
          <w:lang w:bidi="ar"/>
        </w:rPr>
        <w:t>企业法人单位主要经济指标</w:t>
      </w:r>
    </w:p>
    <w:tbl>
      <w:tblPr>
        <w:tblStyle w:val="1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010"/>
        <w:gridCol w:w="1555"/>
        <w:gridCol w:w="1555"/>
        <w:gridCol w:w="155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4010" w:type="dxa"/>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p>
        </w:tc>
        <w:tc>
          <w:tcPr>
            <w:tcW w:w="1555"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555" w:type="dxa"/>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554" w:type="dxa"/>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0" w:type="dxa"/>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555"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8197.39</w:t>
            </w:r>
          </w:p>
        </w:tc>
        <w:tc>
          <w:tcPr>
            <w:tcW w:w="1555" w:type="dxa"/>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4230.82</w:t>
            </w:r>
          </w:p>
        </w:tc>
        <w:tc>
          <w:tcPr>
            <w:tcW w:w="1554" w:type="dxa"/>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2365.86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0"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研究和试验发展</w:t>
            </w:r>
          </w:p>
        </w:tc>
        <w:tc>
          <w:tcPr>
            <w:tcW w:w="1555"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1258.54</w:t>
            </w:r>
          </w:p>
        </w:tc>
        <w:tc>
          <w:tcPr>
            <w:tcW w:w="1555"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653.87</w:t>
            </w:r>
          </w:p>
        </w:tc>
        <w:tc>
          <w:tcPr>
            <w:tcW w:w="1554" w:type="dxa"/>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413.68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0" w:type="dxa"/>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专业技术服务业</w:t>
            </w:r>
          </w:p>
        </w:tc>
        <w:tc>
          <w:tcPr>
            <w:tcW w:w="1555"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4651.38</w:t>
            </w:r>
          </w:p>
        </w:tc>
        <w:tc>
          <w:tcPr>
            <w:tcW w:w="1555" w:type="dxa"/>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2391.37</w:t>
            </w:r>
          </w:p>
        </w:tc>
        <w:tc>
          <w:tcPr>
            <w:tcW w:w="1554" w:type="dxa"/>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1489.20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010" w:type="dxa"/>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科技推广和应用服务业</w:t>
            </w:r>
          </w:p>
        </w:tc>
        <w:tc>
          <w:tcPr>
            <w:tcW w:w="1555"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2287.48</w:t>
            </w:r>
          </w:p>
        </w:tc>
        <w:tc>
          <w:tcPr>
            <w:tcW w:w="1555" w:type="dxa"/>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1185.59</w:t>
            </w:r>
          </w:p>
        </w:tc>
        <w:tc>
          <w:tcPr>
            <w:tcW w:w="1554" w:type="dxa"/>
            <w:tcBorders>
              <w:top w:val="nil"/>
              <w:left w:val="single" w:color="auto" w:sz="4" w:space="0"/>
              <w:bottom w:val="single" w:color="auto" w:sz="12" w:space="0"/>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462.97</w:t>
            </w:r>
          </w:p>
        </w:tc>
      </w:tr>
    </w:tbl>
    <w:p>
      <w:pPr>
        <w:widowControl/>
        <w:adjustRightInd w:val="0"/>
        <w:snapToGrid w:val="0"/>
        <w:spacing w:line="520" w:lineRule="exact"/>
        <w:ind w:firstLine="640"/>
        <w:rPr>
          <w:rFonts w:eastAsia="黑体"/>
          <w:bCs/>
          <w:color w:val="0C0C0C"/>
          <w:szCs w:val="32"/>
        </w:rPr>
      </w:pPr>
      <w:r>
        <w:rPr>
          <w:rFonts w:eastAsia="黑体"/>
          <w:bCs/>
          <w:color w:val="0C0C0C"/>
          <w:kern w:val="0"/>
          <w:szCs w:val="32"/>
          <w:lang w:bidi="ar"/>
        </w:rPr>
        <w:t>二、水利、环境和公共设施管理业</w:t>
      </w:r>
    </w:p>
    <w:p>
      <w:pPr>
        <w:widowControl/>
        <w:adjustRightInd w:val="0"/>
        <w:snapToGrid w:val="0"/>
        <w:spacing w:line="520" w:lineRule="exact"/>
        <w:rPr>
          <w:rFonts w:eastAsia="楷体_GB2312"/>
          <w:color w:val="0C0C0C"/>
          <w:kern w:val="0"/>
          <w:szCs w:val="32"/>
          <w:lang w:bidi="ar"/>
        </w:rPr>
      </w:pPr>
      <w:r>
        <w:rPr>
          <w:rFonts w:eastAsia="楷体_GB2312"/>
          <w:color w:val="0C0C0C"/>
          <w:kern w:val="0"/>
          <w:szCs w:val="32"/>
          <w:lang w:bidi="ar"/>
        </w:rPr>
        <w:t xml:space="preserve">    （一）法人单位数和从业人员</w:t>
      </w:r>
    </w:p>
    <w:p>
      <w:pPr>
        <w:widowControl/>
        <w:adjustRightInd w:val="0"/>
        <w:snapToGrid w:val="0"/>
        <w:spacing w:line="520" w:lineRule="exact"/>
        <w:rPr>
          <w:rFonts w:eastAsia="仿宋_GB2312"/>
          <w:color w:val="0C0C0C"/>
          <w:spacing w:val="-6"/>
          <w:szCs w:val="32"/>
        </w:rPr>
      </w:pPr>
      <w:r>
        <w:rPr>
          <w:color w:val="0C0C0C"/>
          <w:spacing w:val="-6"/>
          <w:szCs w:val="32"/>
        </w:rPr>
        <w:t xml:space="preserve">   </w:t>
      </w:r>
      <w:r>
        <w:rPr>
          <w:rFonts w:eastAsia="仿宋_GB2312"/>
          <w:color w:val="0C0C0C"/>
          <w:spacing w:val="-6"/>
          <w:szCs w:val="32"/>
        </w:rPr>
        <w:t xml:space="preserve"> 2023年末，全市共有水利、环境和公共设施管理业法人单位</w:t>
      </w:r>
      <w:r>
        <w:rPr>
          <w:rFonts w:eastAsia="仿宋_GB2312"/>
          <w:color w:val="0C0C0C"/>
          <w:szCs w:val="32"/>
        </w:rPr>
        <w:t>0.23万个，从业人员4.19万人，分别比2018年末增长126.6%和33.8%。</w:t>
      </w:r>
      <w:r>
        <w:rPr>
          <w:rFonts w:eastAsia="仿宋_GB2312"/>
          <w:color w:val="0C0C0C"/>
          <w:spacing w:val="-6"/>
          <w:szCs w:val="32"/>
        </w:rPr>
        <w:t>其中，行政事业及非企业法人单位</w:t>
      </w:r>
      <w:r>
        <w:rPr>
          <w:rFonts w:eastAsia="仿宋_GB2312"/>
          <w:color w:val="0C0C0C"/>
          <w:szCs w:val="32"/>
        </w:rPr>
        <w:t>185个，比2018年末下降20.6%；从业人员0.47万人，比2018年末下降32.9%</w:t>
      </w:r>
      <w:r>
        <w:rPr>
          <w:rFonts w:eastAsia="仿宋_GB2312"/>
          <w:color w:val="0C0C0C"/>
          <w:spacing w:val="-6"/>
          <w:szCs w:val="32"/>
        </w:rPr>
        <w:t>。</w:t>
      </w:r>
    </w:p>
    <w:p>
      <w:pPr>
        <w:widowControl/>
        <w:adjustRightInd w:val="0"/>
        <w:snapToGrid w:val="0"/>
        <w:spacing w:line="520" w:lineRule="exact"/>
        <w:rPr>
          <w:rFonts w:eastAsia="楷体_GB2312"/>
          <w:color w:val="0C0C0C"/>
          <w:kern w:val="0"/>
          <w:szCs w:val="32"/>
          <w:lang w:bidi="ar"/>
        </w:rPr>
      </w:pPr>
      <w:r>
        <w:rPr>
          <w:rFonts w:eastAsia="楷体_GB2312"/>
          <w:color w:val="0C0C0C"/>
          <w:kern w:val="0"/>
          <w:szCs w:val="32"/>
          <w:lang w:bidi="ar"/>
        </w:rPr>
        <w:t xml:space="preserve">    （二）主要经济指标</w:t>
      </w:r>
    </w:p>
    <w:p>
      <w:pPr>
        <w:widowControl/>
        <w:adjustRightInd w:val="0"/>
        <w:snapToGrid w:val="0"/>
        <w:spacing w:line="520" w:lineRule="exact"/>
        <w:rPr>
          <w:rFonts w:eastAsia="仿宋_GB2312"/>
          <w:color w:val="0C0C0C"/>
          <w:spacing w:val="-6"/>
          <w:szCs w:val="32"/>
        </w:rPr>
      </w:pPr>
      <w:r>
        <w:rPr>
          <w:color w:val="0C0C0C"/>
          <w:spacing w:val="-6"/>
          <w:szCs w:val="32"/>
        </w:rPr>
        <w:t xml:space="preserve"> </w:t>
      </w:r>
      <w:r>
        <w:rPr>
          <w:rFonts w:eastAsia="仿宋_GB2312"/>
          <w:color w:val="0C0C0C"/>
          <w:spacing w:val="-6"/>
          <w:szCs w:val="32"/>
        </w:rPr>
        <w:t xml:space="preserve">   2023年末，水利、环境和公共设施管理业企业法人单位资产总计</w:t>
      </w:r>
      <w:r>
        <w:rPr>
          <w:rFonts w:eastAsia="仿宋_GB2312"/>
          <w:color w:val="0C0C0C"/>
          <w:szCs w:val="32"/>
        </w:rPr>
        <w:t>5526.65亿元，比2018年末增长39.2%；负债合计3403.75亿元，比2018年末增长37.3%；全年实现营业收入199.63亿元，比2018年下降24.6%。</w:t>
      </w:r>
    </w:p>
    <w:p>
      <w:pPr>
        <w:widowControl/>
        <w:adjustRightInd w:val="0"/>
        <w:snapToGrid w:val="0"/>
        <w:spacing w:line="520" w:lineRule="exact"/>
        <w:rPr>
          <w:rFonts w:eastAsia="仿宋_GB2312"/>
          <w:color w:val="0C0C0C"/>
          <w:spacing w:val="-6"/>
          <w:szCs w:val="32"/>
        </w:rPr>
      </w:pPr>
      <w:r>
        <w:rPr>
          <w:rFonts w:eastAsia="仿宋_GB2312"/>
          <w:color w:val="0C0C0C"/>
          <w:spacing w:val="-6"/>
          <w:szCs w:val="32"/>
        </w:rPr>
        <w:t xml:space="preserve">    行政事业及非企业法人单位年末资产</w:t>
      </w:r>
      <w:r>
        <w:rPr>
          <w:rFonts w:eastAsia="仿宋_GB2312"/>
          <w:color w:val="0C0C0C"/>
          <w:szCs w:val="32"/>
        </w:rPr>
        <w:t>791.79亿元，比2018年末增长317.7%。本年支出（费用）合计75.01亿元，比2018年增长110.2%</w:t>
      </w:r>
      <w:r>
        <w:rPr>
          <w:rFonts w:eastAsia="仿宋_GB2312"/>
          <w:color w:val="0C0C0C"/>
          <w:spacing w:val="-6"/>
          <w:szCs w:val="32"/>
        </w:rPr>
        <w:t>。</w:t>
      </w:r>
    </w:p>
    <w:p>
      <w:pPr>
        <w:widowControl/>
        <w:adjustRightInd w:val="0"/>
        <w:snapToGrid w:val="0"/>
        <w:spacing w:line="520" w:lineRule="exact"/>
        <w:ind w:firstLine="640"/>
        <w:rPr>
          <w:rFonts w:eastAsia="黑体"/>
          <w:bCs/>
          <w:color w:val="0C0C0C"/>
          <w:szCs w:val="32"/>
        </w:rPr>
      </w:pPr>
      <w:r>
        <w:rPr>
          <w:rFonts w:eastAsia="黑体"/>
          <w:bCs/>
          <w:color w:val="0C0C0C"/>
          <w:kern w:val="0"/>
          <w:szCs w:val="32"/>
          <w:lang w:bidi="ar"/>
        </w:rPr>
        <w:t>三、居民服务、修理和其他服务业</w:t>
      </w:r>
    </w:p>
    <w:p>
      <w:pPr>
        <w:widowControl/>
        <w:adjustRightInd w:val="0"/>
        <w:snapToGrid w:val="0"/>
        <w:spacing w:line="520" w:lineRule="exact"/>
        <w:rPr>
          <w:rFonts w:eastAsia="楷体_GB2312"/>
          <w:color w:val="0C0C0C"/>
          <w:kern w:val="0"/>
          <w:szCs w:val="32"/>
          <w:lang w:bidi="ar"/>
        </w:rPr>
      </w:pPr>
      <w:r>
        <w:rPr>
          <w:rFonts w:eastAsia="楷体_GB2312"/>
          <w:color w:val="0C0C0C"/>
          <w:kern w:val="0"/>
          <w:szCs w:val="32"/>
          <w:lang w:bidi="ar"/>
        </w:rPr>
        <w:t xml:space="preserve">    （一）企业法人单位数和从业人员</w:t>
      </w:r>
    </w:p>
    <w:p>
      <w:pPr>
        <w:widowControl/>
        <w:adjustRightInd w:val="0"/>
        <w:snapToGrid w:val="0"/>
        <w:spacing w:line="520" w:lineRule="exact"/>
        <w:ind w:firstLine="616"/>
        <w:rPr>
          <w:rFonts w:eastAsia="仿宋_GB2312"/>
        </w:rPr>
      </w:pPr>
      <w:r>
        <w:rPr>
          <w:rFonts w:eastAsia="仿宋_GB2312"/>
          <w:color w:val="0C0C0C"/>
          <w:spacing w:val="-6"/>
          <w:szCs w:val="32"/>
          <w:lang w:val="en"/>
        </w:rPr>
        <w:t>2023年末，全</w:t>
      </w:r>
      <w:r>
        <w:rPr>
          <w:rFonts w:eastAsia="仿宋_GB2312"/>
          <w:color w:val="0C0C0C"/>
          <w:spacing w:val="-6"/>
          <w:szCs w:val="32"/>
        </w:rPr>
        <w:t>市</w:t>
      </w:r>
      <w:r>
        <w:rPr>
          <w:rFonts w:eastAsia="仿宋_GB2312"/>
          <w:color w:val="0C0C0C"/>
          <w:spacing w:val="-6"/>
          <w:szCs w:val="32"/>
          <w:lang w:val="en"/>
        </w:rPr>
        <w:t>共有居民服务、修理和其他服务业企业法人单位</w:t>
      </w:r>
      <w:r>
        <w:rPr>
          <w:rFonts w:eastAsia="仿宋_GB2312"/>
          <w:color w:val="0C0C0C"/>
          <w:szCs w:val="32"/>
        </w:rPr>
        <w:t>1.05万个，从业人员7.70万人，分别比2018年末增长120.6%和68.6%</w:t>
      </w:r>
      <w:r>
        <w:rPr>
          <w:rFonts w:eastAsia="仿宋_GB2312"/>
          <w:color w:val="0C0C0C"/>
          <w:spacing w:val="-6"/>
          <w:szCs w:val="32"/>
          <w:lang w:val="en"/>
        </w:rPr>
        <w:t>（详见表5-4）</w:t>
      </w:r>
      <w:r>
        <w:rPr>
          <w:rFonts w:eastAsia="仿宋_GB2312"/>
          <w:color w:val="0C0C0C"/>
          <w:spacing w:val="-6"/>
          <w:szCs w:val="32"/>
        </w:rPr>
        <w:t>。</w:t>
      </w:r>
    </w:p>
    <w:p>
      <w:pPr>
        <w:widowControl/>
        <w:spacing w:line="400" w:lineRule="exact"/>
        <w:jc w:val="center"/>
        <w:rPr>
          <w:rFonts w:eastAsia="宋体"/>
          <w:b/>
          <w:color w:val="0C0C0C"/>
          <w:kern w:val="0"/>
          <w:sz w:val="24"/>
          <w:lang w:bidi="ar"/>
        </w:rPr>
      </w:pPr>
      <w:r>
        <w:rPr>
          <w:rFonts w:eastAsia="宋体"/>
          <w:b/>
          <w:color w:val="0C0C0C"/>
          <w:kern w:val="0"/>
          <w:sz w:val="24"/>
          <w:lang w:bidi="ar"/>
        </w:rPr>
        <w:t>表5-4　按行业大类分组的居民服务、修理和其他服务业</w:t>
      </w:r>
    </w:p>
    <w:p>
      <w:pPr>
        <w:widowControl/>
        <w:spacing w:line="40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413"/>
        <w:gridCol w:w="2507"/>
        <w:gridCol w:w="192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2496" w:type="pct"/>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p>
        </w:tc>
        <w:tc>
          <w:tcPr>
            <w:tcW w:w="1418"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086"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6"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418"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10515</w:t>
            </w:r>
          </w:p>
        </w:tc>
        <w:tc>
          <w:tcPr>
            <w:tcW w:w="1086"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7.70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居民服务业</w:t>
            </w:r>
          </w:p>
        </w:tc>
        <w:tc>
          <w:tcPr>
            <w:tcW w:w="1418"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5175</w:t>
            </w:r>
          </w:p>
        </w:tc>
        <w:tc>
          <w:tcPr>
            <w:tcW w:w="1086"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6"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机动车、电子产品和日用产品修理业</w:t>
            </w:r>
          </w:p>
        </w:tc>
        <w:tc>
          <w:tcPr>
            <w:tcW w:w="1418"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3751</w:t>
            </w:r>
          </w:p>
        </w:tc>
        <w:tc>
          <w:tcPr>
            <w:tcW w:w="1086"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2.07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96"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其他服务业</w:t>
            </w:r>
          </w:p>
        </w:tc>
        <w:tc>
          <w:tcPr>
            <w:tcW w:w="1418"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1589</w:t>
            </w:r>
          </w:p>
        </w:tc>
        <w:tc>
          <w:tcPr>
            <w:tcW w:w="1086"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2.75</w:t>
            </w:r>
          </w:p>
        </w:tc>
      </w:tr>
    </w:tbl>
    <w:p>
      <w:pPr>
        <w:widowControl/>
        <w:adjustRightInd w:val="0"/>
        <w:snapToGrid w:val="0"/>
        <w:spacing w:line="520" w:lineRule="exact"/>
        <w:rPr>
          <w:rFonts w:eastAsia="仿宋_GB2312"/>
          <w:color w:val="0C0C0C"/>
          <w:spacing w:val="-6"/>
          <w:szCs w:val="32"/>
          <w:lang w:val="en"/>
        </w:rPr>
      </w:pPr>
      <w:r>
        <w:rPr>
          <w:color w:val="0C0C0C"/>
          <w:spacing w:val="-6"/>
          <w:szCs w:val="32"/>
        </w:rPr>
        <w:t xml:space="preserve">  </w:t>
      </w:r>
      <w:r>
        <w:rPr>
          <w:rFonts w:eastAsia="仿宋_GB2312"/>
          <w:color w:val="0C0C0C"/>
          <w:spacing w:val="-6"/>
          <w:szCs w:val="32"/>
        </w:rPr>
        <w:t xml:space="preserve">  在居民服务、修理和其他服务业企业法人单位中，内资企业占</w:t>
      </w:r>
      <w:r>
        <w:rPr>
          <w:rFonts w:eastAsia="仿宋_GB2312"/>
          <w:color w:val="0C0C0C"/>
          <w:szCs w:val="32"/>
        </w:rPr>
        <w:t>99.6%，港澳台投资企业占0.2%，外商投资企业占0.2%</w:t>
      </w:r>
      <w:r>
        <w:rPr>
          <w:rFonts w:eastAsia="仿宋_GB2312"/>
          <w:color w:val="0C0C0C"/>
          <w:spacing w:val="-6"/>
          <w:szCs w:val="32"/>
        </w:rPr>
        <w:t>。</w:t>
      </w:r>
    </w:p>
    <w:p>
      <w:pPr>
        <w:widowControl/>
        <w:adjustRightInd w:val="0"/>
        <w:snapToGrid w:val="0"/>
        <w:spacing w:line="520" w:lineRule="exact"/>
        <w:rPr>
          <w:rFonts w:eastAsia="仿宋_GB2312"/>
          <w:color w:val="0C0C0C"/>
          <w:spacing w:val="-6"/>
          <w:szCs w:val="32"/>
        </w:rPr>
      </w:pPr>
      <w:r>
        <w:rPr>
          <w:rFonts w:eastAsia="仿宋_GB2312"/>
          <w:color w:val="0C0C0C"/>
          <w:spacing w:val="-6"/>
          <w:szCs w:val="32"/>
        </w:rPr>
        <w:t xml:space="preserve">    在居民服务、修理和其他服务业企业法人单位从业人员中，内资企业占</w:t>
      </w:r>
      <w:r>
        <w:rPr>
          <w:rFonts w:eastAsia="仿宋_GB2312"/>
          <w:color w:val="0C0C0C"/>
          <w:szCs w:val="32"/>
        </w:rPr>
        <w:t>98.4%，港澳台投资企业占1.3%，外商投资企业占0.4%</w:t>
      </w:r>
      <w:r>
        <w:rPr>
          <w:rFonts w:eastAsia="仿宋_GB2312"/>
          <w:color w:val="0C0C0C"/>
          <w:spacing w:val="-6"/>
          <w:szCs w:val="32"/>
        </w:rPr>
        <w:t>（详见表5-5）。</w:t>
      </w:r>
    </w:p>
    <w:p>
      <w:pPr>
        <w:widowControl/>
        <w:spacing w:line="400" w:lineRule="exact"/>
        <w:jc w:val="center"/>
        <w:rPr>
          <w:rFonts w:eastAsia="宋体"/>
          <w:b/>
          <w:color w:val="0C0C0C"/>
          <w:kern w:val="0"/>
          <w:sz w:val="24"/>
          <w:lang w:bidi="ar"/>
        </w:rPr>
      </w:pPr>
      <w:r>
        <w:rPr>
          <w:rFonts w:eastAsia="宋体"/>
          <w:b/>
          <w:color w:val="0C0C0C"/>
          <w:kern w:val="0"/>
          <w:sz w:val="24"/>
          <w:lang w:bidi="ar"/>
        </w:rPr>
        <w:t>表5-5　按登记注册统计类别分组的居民服务、修理和其他服务业</w:t>
      </w:r>
    </w:p>
    <w:p>
      <w:pPr>
        <w:widowControl/>
        <w:spacing w:line="400" w:lineRule="exact"/>
        <w:jc w:val="center"/>
        <w:rPr>
          <w:rFonts w:eastAsia="宋体"/>
          <w:b/>
          <w:color w:val="0C0C0C"/>
          <w:kern w:val="0"/>
          <w:sz w:val="24"/>
          <w:lang w:bidi="ar"/>
        </w:rPr>
      </w:pPr>
      <w:r>
        <w:rPr>
          <w:rFonts w:eastAsia="宋体"/>
          <w:b/>
          <w:color w:val="0C0C0C"/>
          <w:kern w:val="0"/>
          <w:sz w:val="24"/>
          <w:lang w:bidi="ar"/>
        </w:rPr>
        <w:t>企业法人单位数和从业人员</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3435"/>
        <w:gridCol w:w="2981"/>
        <w:gridCol w:w="242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1943" w:type="pct"/>
            <w:tcBorders>
              <w:top w:val="single" w:color="auto" w:sz="12" w:space="0"/>
              <w:left w:val="nil"/>
              <w:bottom w:val="single" w:color="auto" w:sz="4" w:space="0"/>
              <w:right w:val="single" w:color="auto" w:sz="4" w:space="0"/>
            </w:tcBorders>
            <w:vAlign w:val="center"/>
          </w:tcPr>
          <w:p>
            <w:pPr>
              <w:widowControl/>
              <w:spacing w:line="320" w:lineRule="exact"/>
              <w:ind w:left="57" w:right="57"/>
              <w:jc w:val="center"/>
              <w:rPr>
                <w:rFonts w:eastAsia="宋体"/>
                <w:color w:val="0C0C0C"/>
                <w:sz w:val="21"/>
                <w:szCs w:val="21"/>
              </w:rPr>
            </w:pPr>
          </w:p>
        </w:tc>
        <w:tc>
          <w:tcPr>
            <w:tcW w:w="1686"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企业法人单位</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（个）</w:t>
            </w:r>
          </w:p>
        </w:tc>
        <w:tc>
          <w:tcPr>
            <w:tcW w:w="1371"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从业人员</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（万人）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3"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1686"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sz w:val="21"/>
                <w:szCs w:val="21"/>
              </w:rPr>
            </w:pPr>
            <w:r>
              <w:rPr>
                <w:rFonts w:eastAsia="宋体"/>
                <w:b/>
                <w:color w:val="0C0C0C"/>
                <w:sz w:val="21"/>
                <w:szCs w:val="21"/>
              </w:rPr>
              <w:t>10515</w:t>
            </w:r>
          </w:p>
        </w:tc>
        <w:tc>
          <w:tcPr>
            <w:tcW w:w="1371"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sz w:val="21"/>
                <w:szCs w:val="21"/>
              </w:rPr>
            </w:pPr>
            <w:r>
              <w:rPr>
                <w:rFonts w:eastAsia="宋体"/>
                <w:b/>
                <w:color w:val="0C0C0C"/>
                <w:sz w:val="21"/>
                <w:szCs w:val="21"/>
              </w:rPr>
              <w:t>7.70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3"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内资企业</w:t>
            </w:r>
          </w:p>
        </w:tc>
        <w:tc>
          <w:tcPr>
            <w:tcW w:w="1686"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10474</w:t>
            </w:r>
          </w:p>
        </w:tc>
        <w:tc>
          <w:tcPr>
            <w:tcW w:w="1371"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7.57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3"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val="en" w:bidi="ar"/>
              </w:rPr>
              <w:t>港澳台</w:t>
            </w:r>
            <w:r>
              <w:rPr>
                <w:rFonts w:eastAsia="宋体"/>
                <w:bCs/>
                <w:color w:val="0C0C0C"/>
                <w:kern w:val="0"/>
                <w:sz w:val="21"/>
                <w:szCs w:val="21"/>
                <w:lang w:bidi="ar"/>
              </w:rPr>
              <w:t>投资企业</w:t>
            </w:r>
          </w:p>
        </w:tc>
        <w:tc>
          <w:tcPr>
            <w:tcW w:w="1686"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19</w:t>
            </w:r>
          </w:p>
        </w:tc>
        <w:tc>
          <w:tcPr>
            <w:tcW w:w="1371"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0.10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3" w:type="pct"/>
            <w:tcBorders>
              <w:top w:val="nil"/>
              <w:left w:val="nil"/>
              <w:bottom w:val="nil"/>
              <w:right w:val="single" w:color="auto" w:sz="4" w:space="0"/>
            </w:tcBorders>
            <w:vAlign w:val="center"/>
          </w:tcPr>
          <w:p>
            <w:pPr>
              <w:widowControl/>
              <w:spacing w:line="320" w:lineRule="exact"/>
              <w:ind w:right="57"/>
              <w:jc w:val="left"/>
              <w:rPr>
                <w:rFonts w:eastAsia="宋体"/>
                <w:bCs/>
                <w:color w:val="0C0C0C"/>
                <w:sz w:val="21"/>
                <w:szCs w:val="21"/>
              </w:rPr>
            </w:pPr>
            <w:r>
              <w:rPr>
                <w:rFonts w:eastAsia="宋体"/>
                <w:bCs/>
                <w:color w:val="0C0C0C"/>
                <w:kern w:val="0"/>
                <w:sz w:val="21"/>
                <w:szCs w:val="21"/>
                <w:lang w:bidi="ar"/>
              </w:rPr>
              <w:t>外商投资企业</w:t>
            </w:r>
          </w:p>
        </w:tc>
        <w:tc>
          <w:tcPr>
            <w:tcW w:w="1686" w:type="pct"/>
            <w:tcBorders>
              <w:top w:val="nil"/>
              <w:left w:val="single" w:color="auto" w:sz="4" w:space="0"/>
              <w:bottom w:val="nil"/>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22</w:t>
            </w:r>
          </w:p>
        </w:tc>
        <w:tc>
          <w:tcPr>
            <w:tcW w:w="1371" w:type="pct"/>
            <w:tcBorders>
              <w:top w:val="nil"/>
              <w:left w:val="single" w:color="auto" w:sz="4" w:space="0"/>
              <w:bottom w:val="nil"/>
              <w:right w:val="nil"/>
            </w:tcBorders>
          </w:tcPr>
          <w:p>
            <w:pPr>
              <w:widowControl/>
              <w:spacing w:line="320" w:lineRule="exact"/>
              <w:ind w:right="57"/>
              <w:jc w:val="right"/>
              <w:rPr>
                <w:rFonts w:eastAsia="宋体"/>
                <w:color w:val="0C0C0C"/>
                <w:sz w:val="21"/>
                <w:szCs w:val="21"/>
              </w:rPr>
            </w:pPr>
            <w:r>
              <w:rPr>
                <w:rFonts w:eastAsia="宋体"/>
                <w:color w:val="0C0C0C"/>
                <w:sz w:val="21"/>
                <w:szCs w:val="21"/>
              </w:rPr>
              <w:t>0.03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943"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bCs/>
                <w:color w:val="0C0C0C"/>
                <w:kern w:val="0"/>
                <w:sz w:val="21"/>
                <w:szCs w:val="21"/>
                <w:lang w:bidi="ar"/>
              </w:rPr>
            </w:pPr>
            <w:r>
              <w:rPr>
                <w:rFonts w:eastAsia="宋体"/>
                <w:bCs/>
                <w:color w:val="0C0C0C"/>
                <w:kern w:val="0"/>
                <w:sz w:val="21"/>
                <w:szCs w:val="21"/>
                <w:lang w:bidi="ar"/>
              </w:rPr>
              <w:t>其他统计类别</w:t>
            </w:r>
          </w:p>
        </w:tc>
        <w:tc>
          <w:tcPr>
            <w:tcW w:w="1686"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bCs/>
                <w:color w:val="0C0C0C"/>
                <w:sz w:val="21"/>
                <w:szCs w:val="21"/>
              </w:rPr>
            </w:pPr>
            <w:r>
              <w:rPr>
                <w:rFonts w:eastAsia="宋体"/>
                <w:bCs/>
                <w:color w:val="0C0C0C"/>
                <w:sz w:val="21"/>
                <w:szCs w:val="21"/>
              </w:rPr>
              <w:t>NA</w:t>
            </w:r>
          </w:p>
        </w:tc>
        <w:tc>
          <w:tcPr>
            <w:tcW w:w="1371"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sz w:val="21"/>
                <w:szCs w:val="21"/>
              </w:rPr>
            </w:pPr>
            <w:r>
              <w:rPr>
                <w:rFonts w:eastAsia="宋体"/>
                <w:color w:val="0C0C0C"/>
                <w:sz w:val="21"/>
                <w:szCs w:val="21"/>
              </w:rPr>
              <w:t>NA</w:t>
            </w:r>
          </w:p>
        </w:tc>
      </w:tr>
    </w:tbl>
    <w:p>
      <w:pPr>
        <w:widowControl/>
        <w:spacing w:line="600" w:lineRule="exact"/>
        <w:ind w:firstLine="640"/>
        <w:jc w:val="left"/>
        <w:rPr>
          <w:rFonts w:eastAsia="楷体_GB2312"/>
          <w:color w:val="0C0C0C"/>
          <w:kern w:val="0"/>
          <w:szCs w:val="32"/>
          <w:lang w:bidi="ar"/>
        </w:rPr>
      </w:pPr>
      <w:r>
        <w:rPr>
          <w:rFonts w:eastAsia="楷体_GB2312"/>
          <w:color w:val="0C0C0C"/>
          <w:kern w:val="0"/>
          <w:szCs w:val="32"/>
          <w:lang w:bidi="ar"/>
        </w:rPr>
        <w:t>（二）主要经济指标</w:t>
      </w:r>
    </w:p>
    <w:p>
      <w:pPr>
        <w:pStyle w:val="7"/>
        <w:spacing w:line="600" w:lineRule="exact"/>
        <w:ind w:firstLine="608"/>
        <w:rPr>
          <w:rFonts w:eastAsia="仿宋_GB2312"/>
          <w:b/>
          <w:color w:val="0C0C0C"/>
          <w:kern w:val="0"/>
          <w:sz w:val="24"/>
          <w:szCs w:val="24"/>
          <w:lang w:bidi="ar"/>
        </w:rPr>
      </w:pPr>
      <w:r>
        <w:rPr>
          <w:rFonts w:eastAsia="仿宋_GB2312"/>
          <w:color w:val="0C0C0C"/>
          <w:spacing w:val="-6"/>
          <w:sz w:val="32"/>
          <w:szCs w:val="32"/>
        </w:rPr>
        <w:t>2023年末，居民服务、修理和其他服务业企业法人单位资产总计</w:t>
      </w:r>
      <w:r>
        <w:rPr>
          <w:rFonts w:eastAsia="仿宋_GB2312"/>
          <w:color w:val="0C0C0C"/>
          <w:sz w:val="32"/>
          <w:szCs w:val="32"/>
        </w:rPr>
        <w:t>269.09亿元，比2018年末增长140.2%</w:t>
      </w:r>
      <w:r>
        <w:rPr>
          <w:rFonts w:eastAsia="仿宋_GB2312"/>
          <w:color w:val="0C0C0C"/>
          <w:spacing w:val="-6"/>
          <w:sz w:val="32"/>
          <w:szCs w:val="32"/>
        </w:rPr>
        <w:t>；负债合计</w:t>
      </w:r>
      <w:r>
        <w:rPr>
          <w:rFonts w:eastAsia="仿宋_GB2312"/>
          <w:color w:val="0C0C0C"/>
          <w:sz w:val="32"/>
          <w:szCs w:val="32"/>
        </w:rPr>
        <w:t>174.02亿元，比2018年末增长133.4%</w:t>
      </w:r>
      <w:r>
        <w:rPr>
          <w:rFonts w:eastAsia="仿宋_GB2312"/>
          <w:color w:val="0C0C0C"/>
          <w:spacing w:val="-6"/>
          <w:sz w:val="32"/>
          <w:szCs w:val="32"/>
        </w:rPr>
        <w:t>；全年实现营业收入</w:t>
      </w:r>
      <w:r>
        <w:rPr>
          <w:rFonts w:eastAsia="仿宋_GB2312"/>
          <w:color w:val="0C0C0C"/>
          <w:sz w:val="32"/>
          <w:szCs w:val="32"/>
        </w:rPr>
        <w:t>161.89亿元，比2018年增长92.0%</w:t>
      </w:r>
      <w:r>
        <w:rPr>
          <w:rFonts w:eastAsia="仿宋_GB2312"/>
          <w:color w:val="0C0C0C"/>
          <w:spacing w:val="-6"/>
          <w:sz w:val="32"/>
          <w:szCs w:val="32"/>
        </w:rPr>
        <w:t>（详见表5-6）。</w:t>
      </w:r>
    </w:p>
    <w:p>
      <w:pPr>
        <w:widowControl/>
        <w:spacing w:line="400" w:lineRule="exact"/>
        <w:jc w:val="center"/>
        <w:rPr>
          <w:rFonts w:eastAsia="宋体"/>
          <w:b/>
          <w:color w:val="0C0C0C"/>
          <w:kern w:val="0"/>
          <w:sz w:val="24"/>
          <w:lang w:bidi="ar"/>
        </w:rPr>
      </w:pPr>
      <w:r>
        <w:rPr>
          <w:rFonts w:eastAsia="宋体"/>
          <w:b/>
          <w:color w:val="0C0C0C"/>
          <w:kern w:val="0"/>
          <w:sz w:val="24"/>
          <w:lang w:bidi="ar"/>
        </w:rPr>
        <w:t>表5-6　按行业大类分组的居民服务、修理和其他服务业</w:t>
      </w:r>
    </w:p>
    <w:p>
      <w:pPr>
        <w:widowControl/>
        <w:spacing w:line="400" w:lineRule="exact"/>
        <w:jc w:val="center"/>
        <w:rPr>
          <w:rFonts w:eastAsia="宋体"/>
          <w:b/>
          <w:color w:val="0C0C0C"/>
          <w:kern w:val="0"/>
          <w:sz w:val="24"/>
          <w:lang w:bidi="ar"/>
        </w:rPr>
      </w:pPr>
      <w:r>
        <w:rPr>
          <w:rFonts w:eastAsia="宋体"/>
          <w:b/>
          <w:color w:val="0C0C0C"/>
          <w:kern w:val="0"/>
          <w:sz w:val="24"/>
          <w:lang w:bidi="ar"/>
        </w:rPr>
        <w:t>企业法人单位主要经济指标</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385"/>
        <w:gridCol w:w="1501"/>
        <w:gridCol w:w="1467"/>
        <w:gridCol w:w="148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7" w:hRule="atLeast"/>
          <w:jc w:val="center"/>
        </w:trPr>
        <w:tc>
          <w:tcPr>
            <w:tcW w:w="2480" w:type="pct"/>
            <w:tcBorders>
              <w:top w:val="single" w:color="auto" w:sz="12" w:space="0"/>
              <w:left w:val="nil"/>
              <w:bottom w:val="single" w:color="auto" w:sz="4" w:space="0"/>
              <w:right w:val="single" w:color="auto" w:sz="4" w:space="0"/>
            </w:tcBorders>
            <w:vAlign w:val="center"/>
          </w:tcPr>
          <w:p>
            <w:pPr>
              <w:widowControl/>
              <w:spacing w:line="320" w:lineRule="exact"/>
              <w:ind w:left="57" w:right="57" w:firstLine="500"/>
              <w:jc w:val="center"/>
              <w:rPr>
                <w:rFonts w:eastAsia="宋体"/>
                <w:color w:val="0C0C0C"/>
                <w:sz w:val="21"/>
                <w:szCs w:val="21"/>
              </w:rPr>
            </w:pPr>
            <w:r>
              <w:rPr>
                <w:rFonts w:eastAsia="宋体"/>
                <w:color w:val="0C0C0C"/>
                <w:kern w:val="0"/>
                <w:sz w:val="21"/>
                <w:szCs w:val="21"/>
                <w:lang w:bidi="ar"/>
              </w:rPr>
              <w:t>　</w:t>
            </w:r>
          </w:p>
        </w:tc>
        <w:tc>
          <w:tcPr>
            <w:tcW w:w="849"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资产总计</w:t>
            </w:r>
          </w:p>
          <w:p>
            <w:pPr>
              <w:widowControl/>
              <w:spacing w:line="320" w:lineRule="exact"/>
              <w:ind w:left="57" w:right="57"/>
              <w:jc w:val="center"/>
              <w:rPr>
                <w:rFonts w:eastAsia="宋体"/>
                <w:color w:val="0C0C0C"/>
                <w:sz w:val="21"/>
              </w:rPr>
            </w:pPr>
            <w:r>
              <w:rPr>
                <w:rFonts w:eastAsia="宋体"/>
                <w:b/>
                <w:bCs/>
                <w:color w:val="0C0C0C"/>
                <w:kern w:val="0"/>
                <w:sz w:val="21"/>
                <w:szCs w:val="21"/>
                <w:lang w:bidi="ar"/>
              </w:rPr>
              <w:t>（亿元）</w:t>
            </w:r>
          </w:p>
        </w:tc>
        <w:tc>
          <w:tcPr>
            <w:tcW w:w="830" w:type="pct"/>
            <w:tcBorders>
              <w:top w:val="single" w:color="auto" w:sz="12" w:space="0"/>
              <w:left w:val="single" w:color="auto" w:sz="4" w:space="0"/>
              <w:bottom w:val="single" w:color="auto" w:sz="4" w:space="0"/>
              <w:right w:val="single" w:color="auto" w:sz="4" w:space="0"/>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负债合计</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842" w:type="pct"/>
            <w:tcBorders>
              <w:top w:val="single" w:color="auto" w:sz="12" w:space="0"/>
              <w:left w:val="single" w:color="auto" w:sz="4" w:space="0"/>
              <w:bottom w:val="single" w:color="auto" w:sz="4" w:space="0"/>
              <w:right w:val="nil"/>
            </w:tcBorders>
            <w:vAlign w:val="center"/>
          </w:tcPr>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营业收入</w:t>
            </w:r>
          </w:p>
          <w:p>
            <w:pPr>
              <w:widowControl/>
              <w:spacing w:line="320" w:lineRule="exact"/>
              <w:ind w:left="57" w:right="57"/>
              <w:jc w:val="center"/>
              <w:rPr>
                <w:rFonts w:eastAsia="宋体"/>
                <w:b/>
                <w:bCs/>
                <w:color w:val="0C0C0C"/>
                <w:sz w:val="21"/>
                <w:szCs w:val="21"/>
              </w:rPr>
            </w:pPr>
            <w:r>
              <w:rPr>
                <w:rFonts w:eastAsia="宋体"/>
                <w:b/>
                <w:bCs/>
                <w:color w:val="0C0C0C"/>
                <w:kern w:val="0"/>
                <w:sz w:val="21"/>
                <w:szCs w:val="21"/>
                <w:lang w:bidi="ar"/>
              </w:rPr>
              <w:t>（亿元）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80" w:type="pct"/>
            <w:tcBorders>
              <w:top w:val="single" w:color="auto" w:sz="4" w:space="0"/>
              <w:left w:val="nil"/>
              <w:bottom w:val="nil"/>
              <w:right w:val="single" w:color="auto" w:sz="4" w:space="0"/>
            </w:tcBorders>
            <w:vAlign w:val="center"/>
          </w:tcPr>
          <w:p>
            <w:pPr>
              <w:widowControl/>
              <w:spacing w:line="320" w:lineRule="exact"/>
              <w:ind w:right="57"/>
              <w:jc w:val="center"/>
              <w:rPr>
                <w:rFonts w:eastAsia="宋体"/>
                <w:color w:val="0C0C0C"/>
                <w:sz w:val="21"/>
                <w:szCs w:val="21"/>
              </w:rPr>
            </w:pPr>
            <w:r>
              <w:rPr>
                <w:rFonts w:eastAsia="宋体"/>
                <w:b/>
                <w:color w:val="0C0C0C"/>
                <w:kern w:val="0"/>
                <w:sz w:val="21"/>
                <w:szCs w:val="21"/>
                <w:lang w:bidi="ar"/>
              </w:rPr>
              <w:t>合　计</w:t>
            </w:r>
          </w:p>
        </w:tc>
        <w:tc>
          <w:tcPr>
            <w:tcW w:w="849"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269.09</w:t>
            </w:r>
          </w:p>
        </w:tc>
        <w:tc>
          <w:tcPr>
            <w:tcW w:w="830" w:type="pct"/>
            <w:tcBorders>
              <w:top w:val="single" w:color="auto" w:sz="4" w:space="0"/>
              <w:left w:val="single" w:color="auto" w:sz="4" w:space="0"/>
              <w:bottom w:val="nil"/>
              <w:right w:val="single" w:color="auto" w:sz="4" w:space="0"/>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174.02</w:t>
            </w:r>
          </w:p>
        </w:tc>
        <w:tc>
          <w:tcPr>
            <w:tcW w:w="842" w:type="pct"/>
            <w:tcBorders>
              <w:top w:val="single" w:color="auto" w:sz="4" w:space="0"/>
              <w:left w:val="single" w:color="auto" w:sz="4" w:space="0"/>
              <w:bottom w:val="nil"/>
              <w:right w:val="nil"/>
            </w:tcBorders>
          </w:tcPr>
          <w:p>
            <w:pPr>
              <w:widowControl/>
              <w:spacing w:line="320" w:lineRule="exact"/>
              <w:ind w:right="57"/>
              <w:jc w:val="right"/>
              <w:rPr>
                <w:rFonts w:eastAsia="宋体"/>
                <w:b/>
                <w:color w:val="0C0C0C"/>
                <w:kern w:val="0"/>
                <w:sz w:val="21"/>
                <w:szCs w:val="21"/>
                <w:lang w:bidi="ar"/>
              </w:rPr>
            </w:pPr>
            <w:r>
              <w:rPr>
                <w:rFonts w:eastAsia="宋体"/>
                <w:b/>
                <w:color w:val="0C0C0C"/>
                <w:kern w:val="0"/>
                <w:sz w:val="21"/>
                <w:szCs w:val="21"/>
                <w:lang w:bidi="ar"/>
              </w:rPr>
              <w:t>161.89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80"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居民服务业</w:t>
            </w:r>
          </w:p>
        </w:tc>
        <w:tc>
          <w:tcPr>
            <w:tcW w:w="849"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117.77</w:t>
            </w:r>
          </w:p>
        </w:tc>
        <w:tc>
          <w:tcPr>
            <w:tcW w:w="830"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83.28</w:t>
            </w:r>
          </w:p>
        </w:tc>
        <w:tc>
          <w:tcPr>
            <w:tcW w:w="842"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50.48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80" w:type="pct"/>
            <w:tcBorders>
              <w:top w:val="nil"/>
              <w:left w:val="nil"/>
              <w:bottom w:val="nil"/>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机动车、电子产品和日用产品修理业</w:t>
            </w:r>
          </w:p>
        </w:tc>
        <w:tc>
          <w:tcPr>
            <w:tcW w:w="849"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104.40</w:t>
            </w:r>
          </w:p>
        </w:tc>
        <w:tc>
          <w:tcPr>
            <w:tcW w:w="830" w:type="pct"/>
            <w:tcBorders>
              <w:top w:val="nil"/>
              <w:left w:val="single" w:color="auto" w:sz="4" w:space="0"/>
              <w:bottom w:val="nil"/>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65.82</w:t>
            </w:r>
          </w:p>
        </w:tc>
        <w:tc>
          <w:tcPr>
            <w:tcW w:w="842" w:type="pct"/>
            <w:tcBorders>
              <w:top w:val="nil"/>
              <w:left w:val="single" w:color="auto" w:sz="4" w:space="0"/>
              <w:bottom w:val="nil"/>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76.20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480" w:type="pct"/>
            <w:tcBorders>
              <w:top w:val="nil"/>
              <w:left w:val="nil"/>
              <w:bottom w:val="single" w:color="auto" w:sz="12" w:space="0"/>
              <w:right w:val="single" w:color="auto" w:sz="4" w:space="0"/>
            </w:tcBorders>
            <w:vAlign w:val="center"/>
          </w:tcPr>
          <w:p>
            <w:pPr>
              <w:widowControl/>
              <w:spacing w:line="320" w:lineRule="exact"/>
              <w:ind w:right="57"/>
              <w:jc w:val="left"/>
              <w:rPr>
                <w:rFonts w:eastAsia="宋体"/>
                <w:color w:val="0C0C0C"/>
                <w:sz w:val="21"/>
                <w:szCs w:val="21"/>
              </w:rPr>
            </w:pPr>
            <w:r>
              <w:rPr>
                <w:rFonts w:eastAsia="宋体"/>
                <w:color w:val="0C0C0C"/>
                <w:kern w:val="0"/>
                <w:sz w:val="21"/>
                <w:szCs w:val="21"/>
                <w:lang w:bidi="ar"/>
              </w:rPr>
              <w:t>其他服务业</w:t>
            </w:r>
          </w:p>
        </w:tc>
        <w:tc>
          <w:tcPr>
            <w:tcW w:w="849"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46.93</w:t>
            </w:r>
          </w:p>
        </w:tc>
        <w:tc>
          <w:tcPr>
            <w:tcW w:w="830" w:type="pct"/>
            <w:tcBorders>
              <w:top w:val="nil"/>
              <w:left w:val="single" w:color="auto" w:sz="4" w:space="0"/>
              <w:bottom w:val="single" w:color="auto" w:sz="12" w:space="0"/>
              <w:right w:val="single" w:color="auto" w:sz="4" w:space="0"/>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24.91</w:t>
            </w:r>
          </w:p>
        </w:tc>
        <w:tc>
          <w:tcPr>
            <w:tcW w:w="842" w:type="pct"/>
            <w:tcBorders>
              <w:top w:val="nil"/>
              <w:left w:val="single" w:color="auto" w:sz="4" w:space="0"/>
              <w:bottom w:val="single" w:color="auto" w:sz="12" w:space="0"/>
              <w:right w:val="nil"/>
            </w:tcBorders>
          </w:tcPr>
          <w:p>
            <w:pPr>
              <w:widowControl/>
              <w:spacing w:line="320" w:lineRule="exact"/>
              <w:ind w:right="57"/>
              <w:jc w:val="right"/>
              <w:rPr>
                <w:rFonts w:eastAsia="宋体"/>
                <w:color w:val="0C0C0C"/>
                <w:kern w:val="0"/>
                <w:sz w:val="21"/>
                <w:szCs w:val="21"/>
                <w:lang w:bidi="ar"/>
              </w:rPr>
            </w:pPr>
            <w:r>
              <w:rPr>
                <w:rFonts w:eastAsia="宋体"/>
                <w:color w:val="0C0C0C"/>
                <w:kern w:val="0"/>
                <w:sz w:val="21"/>
                <w:szCs w:val="21"/>
                <w:lang w:bidi="ar"/>
              </w:rPr>
              <w:t>35.21</w:t>
            </w:r>
          </w:p>
        </w:tc>
      </w:tr>
    </w:tbl>
    <w:p>
      <w:pPr>
        <w:widowControl/>
        <w:spacing w:line="600" w:lineRule="exact"/>
        <w:ind w:firstLine="640"/>
        <w:jc w:val="left"/>
        <w:rPr>
          <w:rFonts w:eastAsia="黑体"/>
          <w:bCs/>
          <w:color w:val="0C0C0C"/>
          <w:kern w:val="0"/>
          <w:szCs w:val="32"/>
          <w:lang w:bidi="ar"/>
        </w:rPr>
      </w:pPr>
    </w:p>
    <w:p>
      <w:pPr>
        <w:widowControl/>
        <w:adjustRightInd w:val="0"/>
        <w:snapToGrid w:val="0"/>
        <w:spacing w:line="520" w:lineRule="exact"/>
        <w:ind w:firstLine="640"/>
        <w:rPr>
          <w:color w:val="0C0C0C"/>
          <w:szCs w:val="32"/>
        </w:rPr>
      </w:pPr>
      <w:r>
        <w:rPr>
          <w:rFonts w:eastAsia="黑体"/>
          <w:bCs/>
          <w:color w:val="0C0C0C"/>
          <w:kern w:val="0"/>
          <w:szCs w:val="32"/>
          <w:lang w:bidi="ar"/>
        </w:rPr>
        <w:t>四、教育</w:t>
      </w:r>
    </w:p>
    <w:p>
      <w:pPr>
        <w:widowControl/>
        <w:adjustRightInd w:val="0"/>
        <w:snapToGrid w:val="0"/>
        <w:spacing w:line="520" w:lineRule="exact"/>
        <w:rPr>
          <w:rFonts w:eastAsia="楷体_GB2312"/>
          <w:color w:val="0C0C0C"/>
          <w:kern w:val="0"/>
          <w:szCs w:val="32"/>
          <w:lang w:bidi="ar"/>
        </w:rPr>
      </w:pPr>
      <w:r>
        <w:rPr>
          <w:rFonts w:eastAsia="楷体_GB2312"/>
          <w:color w:val="0C0C0C"/>
          <w:kern w:val="0"/>
          <w:szCs w:val="32"/>
          <w:lang w:bidi="ar"/>
        </w:rPr>
        <w:t xml:space="preserve">    （一）法人单位数和从业人员</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2023年末，全市共有教育法人单位</w:t>
      </w:r>
      <w:r>
        <w:rPr>
          <w:rFonts w:eastAsia="仿宋_GB2312"/>
          <w:color w:val="0C0C0C"/>
          <w:sz w:val="32"/>
          <w:szCs w:val="32"/>
        </w:rPr>
        <w:t>0.73万个，从业人员24.71万人，分别比2018年末增长39.4%和17.2%。其中，行政事业及非企业法人单位0.25万个，从业人员21.93万人，分别比2018年末增长31.6%和24.7%</w:t>
      </w:r>
      <w:r>
        <w:rPr>
          <w:rFonts w:eastAsia="仿宋_GB2312"/>
          <w:color w:val="0C0C0C"/>
          <w:spacing w:val="-6"/>
          <w:sz w:val="32"/>
          <w:szCs w:val="32"/>
        </w:rPr>
        <w:t>。</w:t>
      </w:r>
    </w:p>
    <w:p>
      <w:pPr>
        <w:adjustRightInd w:val="0"/>
        <w:snapToGrid w:val="0"/>
        <w:spacing w:line="520" w:lineRule="exact"/>
        <w:rPr>
          <w:color w:val="0C0C0C"/>
          <w:szCs w:val="32"/>
        </w:rPr>
      </w:pPr>
      <w:r>
        <w:rPr>
          <w:rFonts w:eastAsia="楷体_GB2312"/>
          <w:color w:val="0C0C0C"/>
          <w:spacing w:val="-6"/>
          <w:szCs w:val="32"/>
        </w:rPr>
        <w:t xml:space="preserve">    （二）主要经济指标</w:t>
      </w:r>
    </w:p>
    <w:p>
      <w:pPr>
        <w:pStyle w:val="7"/>
        <w:adjustRightInd w:val="0"/>
        <w:snapToGrid w:val="0"/>
        <w:spacing w:line="520" w:lineRule="exact"/>
        <w:ind w:firstLine="0" w:firstLineChars="0"/>
        <w:rPr>
          <w:rFonts w:eastAsia="仿宋_GB2312"/>
          <w:color w:val="0C0C0C"/>
          <w:spacing w:val="-6"/>
          <w:sz w:val="32"/>
          <w:szCs w:val="32"/>
        </w:rPr>
      </w:pPr>
      <w:r>
        <w:rPr>
          <w:color w:val="0C0C0C"/>
          <w:spacing w:val="-6"/>
          <w:sz w:val="32"/>
          <w:szCs w:val="32"/>
        </w:rPr>
        <w:t xml:space="preserve">  </w:t>
      </w:r>
      <w:r>
        <w:rPr>
          <w:rFonts w:eastAsia="仿宋_GB2312"/>
          <w:color w:val="0C0C0C"/>
          <w:spacing w:val="-6"/>
          <w:sz w:val="32"/>
          <w:szCs w:val="32"/>
        </w:rPr>
        <w:t xml:space="preserve">  2023年末，教育企业法人单位资产总计</w:t>
      </w:r>
      <w:r>
        <w:rPr>
          <w:rFonts w:eastAsia="仿宋_GB2312"/>
          <w:color w:val="0C0C0C"/>
          <w:sz w:val="32"/>
          <w:szCs w:val="32"/>
        </w:rPr>
        <w:t>96.15亿元，比2018年末增长51.5%；负债合计48.97亿元，比2018年末增长19.4%；全年实现营业收入46.92亿元，比2018年下降18.6%</w:t>
      </w:r>
      <w:r>
        <w:rPr>
          <w:rFonts w:eastAsia="仿宋_GB2312"/>
          <w:color w:val="0C0C0C"/>
          <w:spacing w:val="-6"/>
          <w:sz w:val="32"/>
          <w:szCs w:val="32"/>
        </w:rPr>
        <w:t>。</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行政事业及非企业法人单位年末资产</w:t>
      </w:r>
      <w:r>
        <w:rPr>
          <w:rFonts w:eastAsia="仿宋_GB2312"/>
          <w:color w:val="0C0C0C"/>
          <w:sz w:val="32"/>
          <w:szCs w:val="32"/>
        </w:rPr>
        <w:t>2109.06亿元，比2018年末增长10.6%。本年支出（费用）合计1038.76亿元，比2018年增长41.8%</w:t>
      </w:r>
      <w:r>
        <w:rPr>
          <w:rFonts w:eastAsia="仿宋_GB2312"/>
          <w:color w:val="0C0C0C"/>
          <w:spacing w:val="-6"/>
          <w:sz w:val="32"/>
          <w:szCs w:val="32"/>
        </w:rPr>
        <w:t>。</w:t>
      </w:r>
    </w:p>
    <w:p>
      <w:pPr>
        <w:widowControl/>
        <w:adjustRightInd w:val="0"/>
        <w:snapToGrid w:val="0"/>
        <w:spacing w:line="520" w:lineRule="exact"/>
        <w:ind w:firstLine="640"/>
        <w:rPr>
          <w:color w:val="0C0C0C"/>
          <w:szCs w:val="32"/>
        </w:rPr>
      </w:pPr>
      <w:r>
        <w:rPr>
          <w:rFonts w:eastAsia="黑体"/>
          <w:bCs/>
          <w:color w:val="0C0C0C"/>
          <w:kern w:val="0"/>
          <w:szCs w:val="32"/>
          <w:lang w:bidi="ar"/>
        </w:rPr>
        <w:t>五、卫生和社会工作</w:t>
      </w:r>
    </w:p>
    <w:p>
      <w:pPr>
        <w:widowControl/>
        <w:adjustRightInd w:val="0"/>
        <w:snapToGrid w:val="0"/>
        <w:spacing w:line="520" w:lineRule="exact"/>
        <w:ind w:firstLine="640"/>
        <w:rPr>
          <w:rFonts w:eastAsia="楷体_GB2312"/>
          <w:color w:val="0C0C0C"/>
          <w:kern w:val="0"/>
          <w:szCs w:val="32"/>
          <w:lang w:bidi="ar"/>
        </w:rPr>
      </w:pPr>
      <w:r>
        <w:rPr>
          <w:rFonts w:eastAsia="楷体_GB2312"/>
          <w:color w:val="0C0C0C"/>
          <w:kern w:val="0"/>
          <w:szCs w:val="32"/>
          <w:lang w:bidi="ar"/>
        </w:rPr>
        <w:t>（一）法人单位数和从业人员</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2023年末，全市共有卫生和社会工作法人单位</w:t>
      </w:r>
      <w:r>
        <w:rPr>
          <w:rFonts w:eastAsia="仿宋_GB2312"/>
          <w:color w:val="0C0C0C"/>
          <w:sz w:val="32"/>
          <w:szCs w:val="32"/>
        </w:rPr>
        <w:t>0.52万个，比2018年末下降1.4%，从业人员14.92万人，比2018年末增长35.2%。其中，行政事业及非企业法人单位0.31万个，比2018年末下降24.5%；从业人员10.68万人，增长28.5%</w:t>
      </w:r>
      <w:r>
        <w:rPr>
          <w:rFonts w:eastAsia="仿宋_GB2312"/>
          <w:color w:val="0C0C0C"/>
          <w:spacing w:val="-6"/>
          <w:sz w:val="32"/>
          <w:szCs w:val="32"/>
        </w:rPr>
        <w:t>。</w:t>
      </w:r>
    </w:p>
    <w:p>
      <w:pPr>
        <w:adjustRightInd w:val="0"/>
        <w:snapToGrid w:val="0"/>
        <w:spacing w:line="520" w:lineRule="exact"/>
        <w:ind w:firstLine="616"/>
        <w:rPr>
          <w:color w:val="0C0C0C"/>
          <w:szCs w:val="32"/>
        </w:rPr>
      </w:pPr>
      <w:r>
        <w:rPr>
          <w:rFonts w:eastAsia="楷体_GB2312"/>
          <w:color w:val="0C0C0C"/>
          <w:spacing w:val="-6"/>
          <w:szCs w:val="32"/>
        </w:rPr>
        <w:t>（二）主要经济指标</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2023年末，卫生和社会工作企业法人单位资产总计</w:t>
      </w:r>
      <w:r>
        <w:rPr>
          <w:rFonts w:eastAsia="仿宋_GB2312"/>
          <w:color w:val="0C0C0C"/>
          <w:sz w:val="32"/>
          <w:szCs w:val="32"/>
        </w:rPr>
        <w:t>351.09亿元，比2018年末增长264.2%；负债合计209.12亿元，比2018年末增长215.4%；全年实现营业收入174.62亿元，比2018年增长96.5%</w:t>
      </w:r>
      <w:r>
        <w:rPr>
          <w:rFonts w:eastAsia="仿宋_GB2312"/>
          <w:color w:val="0C0C0C"/>
          <w:spacing w:val="-6"/>
          <w:sz w:val="32"/>
          <w:szCs w:val="32"/>
        </w:rPr>
        <w:t>。</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行政事业及非企业法人单位年末资产</w:t>
      </w:r>
      <w:r>
        <w:rPr>
          <w:rFonts w:eastAsia="仿宋_GB2312"/>
          <w:color w:val="0C0C0C"/>
          <w:sz w:val="32"/>
          <w:szCs w:val="32"/>
        </w:rPr>
        <w:t>849.69亿元，比2018年末增长65.1%。本年支出（费用）合计856.66亿元，比2018年增长60.4%</w:t>
      </w:r>
      <w:r>
        <w:rPr>
          <w:rFonts w:eastAsia="仿宋_GB2312"/>
          <w:color w:val="0C0C0C"/>
          <w:spacing w:val="-6"/>
          <w:sz w:val="32"/>
          <w:szCs w:val="32"/>
        </w:rPr>
        <w:t>。</w:t>
      </w:r>
    </w:p>
    <w:p>
      <w:pPr>
        <w:widowControl/>
        <w:adjustRightInd w:val="0"/>
        <w:snapToGrid w:val="0"/>
        <w:spacing w:line="520" w:lineRule="exact"/>
        <w:ind w:firstLine="640"/>
        <w:rPr>
          <w:color w:val="0C0C0C"/>
          <w:szCs w:val="32"/>
        </w:rPr>
      </w:pPr>
      <w:r>
        <w:rPr>
          <w:rFonts w:eastAsia="黑体"/>
          <w:bCs/>
          <w:color w:val="0C0C0C"/>
          <w:kern w:val="0"/>
          <w:szCs w:val="32"/>
          <w:lang w:bidi="ar"/>
        </w:rPr>
        <w:t>六、文化、体育和娱乐业</w:t>
      </w:r>
    </w:p>
    <w:p>
      <w:pPr>
        <w:widowControl/>
        <w:adjustRightInd w:val="0"/>
        <w:snapToGrid w:val="0"/>
        <w:spacing w:line="520" w:lineRule="exact"/>
        <w:ind w:firstLine="640"/>
        <w:rPr>
          <w:rFonts w:eastAsia="楷体_GB2312"/>
          <w:color w:val="0C0C0C"/>
          <w:kern w:val="0"/>
          <w:szCs w:val="32"/>
          <w:lang w:bidi="ar"/>
        </w:rPr>
      </w:pPr>
      <w:r>
        <w:rPr>
          <w:rFonts w:eastAsia="楷体_GB2312"/>
          <w:color w:val="0C0C0C"/>
          <w:kern w:val="0"/>
          <w:szCs w:val="32"/>
          <w:lang w:bidi="ar"/>
        </w:rPr>
        <w:t>（一）法人单位数和从业人员</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2023年末，全市共有文化、体育和娱乐业法人单位</w:t>
      </w:r>
      <w:r>
        <w:rPr>
          <w:rFonts w:eastAsia="仿宋_GB2312"/>
          <w:color w:val="0C0C0C"/>
          <w:sz w:val="32"/>
          <w:szCs w:val="32"/>
        </w:rPr>
        <w:t>1.48万个，从业人员7.93万人，分别比2018年末增长69.7%和18.0%。其中，企业法人单位1.35万个，从业人员7.03万人，分别比2018年末增长87.5%和27.6%</w:t>
      </w:r>
      <w:r>
        <w:rPr>
          <w:rFonts w:eastAsia="仿宋_GB2312"/>
          <w:color w:val="0C0C0C"/>
          <w:spacing w:val="-6"/>
          <w:sz w:val="32"/>
          <w:szCs w:val="32"/>
        </w:rPr>
        <w:t>。</w:t>
      </w:r>
    </w:p>
    <w:p>
      <w:pPr>
        <w:adjustRightInd w:val="0"/>
        <w:snapToGrid w:val="0"/>
        <w:spacing w:line="520" w:lineRule="exact"/>
        <w:ind w:firstLine="616"/>
        <w:rPr>
          <w:rFonts w:eastAsia="楷体_GB2312"/>
          <w:color w:val="0C0C0C"/>
          <w:szCs w:val="32"/>
        </w:rPr>
      </w:pPr>
      <w:r>
        <w:rPr>
          <w:rFonts w:eastAsia="楷体_GB2312"/>
          <w:color w:val="0C0C0C"/>
          <w:spacing w:val="-6"/>
          <w:szCs w:val="32"/>
        </w:rPr>
        <w:t>（二）主要经济指标</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2023年末，文化、体育和娱乐业企业法人单位资产总计</w:t>
      </w:r>
      <w:r>
        <w:rPr>
          <w:rFonts w:eastAsia="仿宋_GB2312"/>
          <w:color w:val="0C0C0C"/>
          <w:sz w:val="32"/>
          <w:szCs w:val="32"/>
        </w:rPr>
        <w:t>1544.06亿元，比2018年末增长40.6%；负债合计922.77亿元，比2018年末增长36.8%；全年实现营业收入330.45亿元，比2018年增长30.7%</w:t>
      </w:r>
      <w:r>
        <w:rPr>
          <w:rFonts w:eastAsia="仿宋_GB2312"/>
          <w:color w:val="0C0C0C"/>
          <w:spacing w:val="-6"/>
          <w:sz w:val="32"/>
          <w:szCs w:val="32"/>
        </w:rPr>
        <w:t>。</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行政事业及非企业法人单位年末资产</w:t>
      </w:r>
      <w:r>
        <w:rPr>
          <w:rFonts w:eastAsia="仿宋_GB2312"/>
          <w:color w:val="0C0C0C"/>
          <w:sz w:val="32"/>
          <w:szCs w:val="32"/>
        </w:rPr>
        <w:t>152.70亿元，比2018年末增长19.3%。本年支出（费用）合计43.29亿元，比2018年增长9.8%</w:t>
      </w:r>
      <w:r>
        <w:rPr>
          <w:rFonts w:eastAsia="仿宋_GB2312"/>
          <w:color w:val="0C0C0C"/>
          <w:spacing w:val="-6"/>
          <w:sz w:val="32"/>
          <w:szCs w:val="32"/>
        </w:rPr>
        <w:t>。</w:t>
      </w:r>
    </w:p>
    <w:p>
      <w:pPr>
        <w:widowControl/>
        <w:adjustRightInd w:val="0"/>
        <w:snapToGrid w:val="0"/>
        <w:spacing w:line="520" w:lineRule="exact"/>
        <w:ind w:firstLine="640"/>
        <w:rPr>
          <w:rFonts w:eastAsia="黑体"/>
          <w:bCs/>
          <w:color w:val="0C0C0C"/>
          <w:szCs w:val="32"/>
        </w:rPr>
      </w:pPr>
      <w:r>
        <w:rPr>
          <w:rFonts w:eastAsia="黑体"/>
          <w:bCs/>
          <w:color w:val="0C0C0C"/>
          <w:kern w:val="0"/>
          <w:szCs w:val="32"/>
          <w:lang w:bidi="ar"/>
        </w:rPr>
        <w:t>七、公共管理、社会保障和社会组织</w:t>
      </w:r>
    </w:p>
    <w:p>
      <w:pPr>
        <w:pStyle w:val="7"/>
        <w:adjustRightInd w:val="0"/>
        <w:snapToGrid w:val="0"/>
        <w:spacing w:line="520" w:lineRule="exact"/>
        <w:ind w:firstLine="608"/>
        <w:rPr>
          <w:rFonts w:eastAsia="仿宋_GB2312"/>
          <w:color w:val="0C0C0C"/>
          <w:spacing w:val="-6"/>
          <w:sz w:val="32"/>
          <w:szCs w:val="32"/>
        </w:rPr>
      </w:pPr>
      <w:r>
        <w:rPr>
          <w:rFonts w:eastAsia="仿宋_GB2312"/>
          <w:color w:val="0C0C0C"/>
          <w:spacing w:val="-6"/>
          <w:sz w:val="32"/>
          <w:szCs w:val="32"/>
        </w:rPr>
        <w:t>2023年末，全市共有公共管理、社会保障和社会组织法人单位</w:t>
      </w:r>
      <w:r>
        <w:rPr>
          <w:rFonts w:eastAsia="仿宋_GB2312"/>
          <w:color w:val="0C0C0C"/>
          <w:sz w:val="32"/>
          <w:szCs w:val="32"/>
        </w:rPr>
        <w:t>0.68</w:t>
      </w:r>
      <w:r>
        <w:rPr>
          <w:rFonts w:eastAsia="仿宋_GB2312"/>
          <w:color w:val="0C0C0C"/>
          <w:spacing w:val="-6"/>
          <w:sz w:val="32"/>
          <w:szCs w:val="32"/>
        </w:rPr>
        <w:t>万个，比2018年末增长10.0%；从业人员</w:t>
      </w:r>
      <w:r>
        <w:rPr>
          <w:rFonts w:eastAsia="仿宋_GB2312"/>
          <w:color w:val="0C0C0C"/>
          <w:sz w:val="32"/>
          <w:szCs w:val="32"/>
        </w:rPr>
        <w:t>20.93</w:t>
      </w:r>
      <w:r>
        <w:rPr>
          <w:rFonts w:eastAsia="仿宋_GB2312"/>
          <w:color w:val="0C0C0C"/>
          <w:spacing w:val="-6"/>
          <w:sz w:val="32"/>
          <w:szCs w:val="32"/>
        </w:rPr>
        <w:t>万人，增长</w:t>
      </w:r>
      <w:r>
        <w:rPr>
          <w:rFonts w:eastAsia="仿宋_GB2312"/>
          <w:color w:val="0C0C0C"/>
          <w:sz w:val="32"/>
          <w:szCs w:val="32"/>
        </w:rPr>
        <w:t>12.3</w:t>
      </w:r>
      <w:r>
        <w:rPr>
          <w:rFonts w:eastAsia="仿宋_GB2312"/>
          <w:color w:val="0C0C0C"/>
          <w:spacing w:val="-6"/>
          <w:sz w:val="32"/>
          <w:szCs w:val="32"/>
        </w:rPr>
        <w:t>%。行政事业及非企业法人单位本年支出（费用）合计</w:t>
      </w:r>
      <w:r>
        <w:rPr>
          <w:rFonts w:eastAsia="仿宋_GB2312"/>
          <w:color w:val="0C0C0C"/>
          <w:sz w:val="32"/>
          <w:szCs w:val="32"/>
        </w:rPr>
        <w:t>2132.06</w:t>
      </w:r>
      <w:r>
        <w:rPr>
          <w:rFonts w:eastAsia="仿宋_GB2312"/>
          <w:color w:val="0C0C0C"/>
          <w:spacing w:val="-6"/>
          <w:sz w:val="32"/>
          <w:szCs w:val="32"/>
        </w:rPr>
        <w:t>亿元，比2018年增长</w:t>
      </w:r>
      <w:r>
        <w:rPr>
          <w:rFonts w:eastAsia="仿宋_GB2312"/>
          <w:color w:val="0C0C0C"/>
          <w:sz w:val="32"/>
          <w:szCs w:val="32"/>
        </w:rPr>
        <w:t>9.1</w:t>
      </w:r>
      <w:r>
        <w:rPr>
          <w:rFonts w:eastAsia="仿宋_GB2312"/>
          <w:color w:val="0C0C0C"/>
          <w:spacing w:val="-6"/>
          <w:sz w:val="32"/>
          <w:szCs w:val="32"/>
        </w:rPr>
        <w:t>%。</w:t>
      </w:r>
    </w:p>
    <w:p>
      <w:pPr>
        <w:widowControl/>
        <w:spacing w:line="600" w:lineRule="exact"/>
        <w:ind w:firstLine="560"/>
        <w:jc w:val="left"/>
        <w:rPr>
          <w:rFonts w:eastAsia="黑体"/>
          <w:bCs/>
          <w:color w:val="0C0C0C"/>
          <w:kern w:val="0"/>
          <w:sz w:val="28"/>
          <w:szCs w:val="28"/>
          <w:lang w:bidi="ar"/>
        </w:rPr>
      </w:pPr>
    </w:p>
    <w:p>
      <w:pPr>
        <w:widowControl/>
        <w:spacing w:line="600" w:lineRule="exact"/>
        <w:ind w:firstLine="560"/>
        <w:jc w:val="left"/>
        <w:rPr>
          <w:rFonts w:eastAsia="黑体"/>
          <w:bCs/>
          <w:color w:val="0C0C0C"/>
          <w:kern w:val="0"/>
          <w:sz w:val="28"/>
          <w:szCs w:val="28"/>
          <w:lang w:bidi="ar"/>
        </w:rPr>
      </w:pPr>
    </w:p>
    <w:p>
      <w:pPr>
        <w:widowControl/>
        <w:spacing w:line="600" w:lineRule="exact"/>
        <w:ind w:firstLine="560"/>
        <w:jc w:val="left"/>
        <w:rPr>
          <w:rFonts w:eastAsia="黑体"/>
          <w:bCs/>
          <w:color w:val="0C0C0C"/>
          <w:kern w:val="0"/>
          <w:sz w:val="28"/>
          <w:szCs w:val="28"/>
          <w:lang w:bidi="ar"/>
        </w:rPr>
      </w:pPr>
    </w:p>
    <w:p>
      <w:pPr>
        <w:widowControl/>
        <w:spacing w:line="600" w:lineRule="exact"/>
        <w:ind w:firstLine="560"/>
        <w:jc w:val="left"/>
        <w:rPr>
          <w:color w:val="0C0C0C"/>
          <w:sz w:val="28"/>
          <w:szCs w:val="28"/>
        </w:rPr>
      </w:pPr>
      <w:r>
        <w:rPr>
          <w:rFonts w:eastAsia="黑体"/>
          <w:bCs/>
          <w:color w:val="0C0C0C"/>
          <w:kern w:val="0"/>
          <w:sz w:val="28"/>
          <w:szCs w:val="28"/>
          <w:lang w:bidi="ar"/>
        </w:rPr>
        <w:t>注释：</w:t>
      </w:r>
    </w:p>
    <w:p>
      <w:pPr>
        <w:widowControl/>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[1]本公报中的行政事业及非企业法人单位，不包括执行企业会计制度的事业法人单位、民办非企业法人单位和基金会，农民专业合作社，农村集体经济组织和除宗教活动场所以外的机构类型为其他组织机构的法人单位。</w:t>
      </w:r>
    </w:p>
    <w:p>
      <w:pPr>
        <w:widowControl/>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[2]登记注册统计类别：根据国家统计局、国家市场监督管理总局《关于市场主体统计分类的划分规定》（国统字〔2023〕14号）确定，包括内资企业、港澳台投资企业和外商投资企业，以及农民专业合作社（联合社）等其他统计类别。</w:t>
      </w:r>
    </w:p>
    <w:p>
      <w:pPr>
        <w:widowControl/>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[3]表中的合计数和部分计算数据因小数取舍而产生的误差，均未作机械调整。</w:t>
      </w:r>
    </w:p>
    <w:p>
      <w:pPr>
        <w:spacing w:line="580" w:lineRule="exact"/>
        <w:ind w:firstLine="560"/>
        <w:rPr>
          <w:rFonts w:eastAsia="仿宋_GB2312"/>
          <w:kern w:val="0"/>
          <w:sz w:val="28"/>
          <w:szCs w:val="28"/>
          <w:lang w:bidi="ar"/>
        </w:rPr>
      </w:pPr>
      <w:r>
        <w:rPr>
          <w:rFonts w:eastAsia="仿宋_GB2312"/>
          <w:kern w:val="0"/>
          <w:sz w:val="28"/>
          <w:szCs w:val="28"/>
          <w:lang w:bidi="ar"/>
        </w:rPr>
        <w:t>[4]根据《统计法》相关规定，部分行业统计调查对象数量较少，为避免泄露单个统计调查对象信息，用“NA”表示。</w:t>
      </w:r>
    </w:p>
    <w:sectPr>
      <w:footerReference r:id="rId4" w:type="default"/>
      <w:footerReference r:id="rId5" w:type="even"/>
      <w:pgSz w:w="11906" w:h="16838"/>
      <w:pgMar w:top="2098" w:right="1474" w:bottom="1984" w:left="1588" w:header="851" w:footer="1417"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44"/>
      <w:jc w:val="right"/>
      <w:rPr>
        <w:rFonts w:ascii="宋体" w:hAnsi="宋体"/>
        <w:sz w:val="28"/>
        <w:szCs w:val="28"/>
      </w:rPr>
    </w:pPr>
    <w:r>
      <w:rPr>
        <w:rFonts w:hint="eastAsia"/>
      </w:rPr>
      <w:t xml:space="preserve">                                                         </w:t>
    </w:r>
    <w:sdt>
      <w:sdtPr>
        <w:id w:val="46076676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sdtContent>
    </w:sdt>
  </w:p>
  <w:p>
    <w:pPr>
      <w:pStyle w:val="1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5178268"/>
    </w:sdtPr>
    <w:sdtEndPr>
      <w:rPr>
        <w:rFonts w:ascii="宋体" w:hAnsi="宋体"/>
        <w:sz w:val="28"/>
        <w:szCs w:val="28"/>
      </w:rPr>
    </w:sdtEndPr>
    <w:sdtContent>
      <w:p>
        <w:pPr>
          <w:pStyle w:val="13"/>
          <w:ind w:firstLine="3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5"/>
        <w:spacing w:line="240" w:lineRule="auto"/>
        <w:ind w:firstLine="0" w:firstLineChars="0"/>
        <w:jc w:val="both"/>
        <w:textAlignment w:val="auto"/>
        <w:rPr>
          <w:rStyle w:val="23"/>
        </w:rPr>
      </w:pPr>
      <w:r>
        <w:rPr>
          <w:rStyle w:val="23"/>
          <w:rFonts w:hint="eastAsia" w:ascii="Calibri" w:hAnsi="Calibri"/>
        </w:rPr>
        <w:footnoteRef/>
      </w:r>
      <w:r>
        <w:rPr>
          <w:rStyle w:val="23"/>
          <w:rFonts w:hint="eastAsia" w:ascii="Calibri" w:hAnsi="Calibri"/>
        </w:rPr>
        <w:t xml:space="preserve"> </w:t>
      </w:r>
      <w:r>
        <w:rPr>
          <w:rStyle w:val="23"/>
          <w:rFonts w:hint="eastAsia"/>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trackedChanges" w:enforcement="0"/>
  <w:defaultTabStop w:val="420"/>
  <w:evenAndOddHeaders w:val="1"/>
  <w:drawingGridHorizontalSpacing w:val="158"/>
  <w:drawingGridVerticalSpacing w:val="579"/>
  <w:displayHorizontalDrawingGridEvery w:val="0"/>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494"/>
    <w:rsid w:val="000C2F23"/>
    <w:rsid w:val="00136026"/>
    <w:rsid w:val="00144A2C"/>
    <w:rsid w:val="0016612D"/>
    <w:rsid w:val="00183EAA"/>
    <w:rsid w:val="001D0FA1"/>
    <w:rsid w:val="001D3A54"/>
    <w:rsid w:val="001F2A01"/>
    <w:rsid w:val="002150BD"/>
    <w:rsid w:val="00260A4D"/>
    <w:rsid w:val="002632CA"/>
    <w:rsid w:val="00286774"/>
    <w:rsid w:val="00292D62"/>
    <w:rsid w:val="00296D9C"/>
    <w:rsid w:val="002977ED"/>
    <w:rsid w:val="002A5D16"/>
    <w:rsid w:val="002C5A86"/>
    <w:rsid w:val="002D4200"/>
    <w:rsid w:val="002E5506"/>
    <w:rsid w:val="002F6D5E"/>
    <w:rsid w:val="003000A6"/>
    <w:rsid w:val="00300398"/>
    <w:rsid w:val="00343BDB"/>
    <w:rsid w:val="003578B1"/>
    <w:rsid w:val="003C27F7"/>
    <w:rsid w:val="003E11A7"/>
    <w:rsid w:val="003E1525"/>
    <w:rsid w:val="003E2813"/>
    <w:rsid w:val="004415C2"/>
    <w:rsid w:val="00442BEF"/>
    <w:rsid w:val="004505A2"/>
    <w:rsid w:val="00461426"/>
    <w:rsid w:val="004C0B7A"/>
    <w:rsid w:val="00513E3C"/>
    <w:rsid w:val="00526435"/>
    <w:rsid w:val="00565797"/>
    <w:rsid w:val="005851E1"/>
    <w:rsid w:val="005939B8"/>
    <w:rsid w:val="005A045A"/>
    <w:rsid w:val="005A1BCE"/>
    <w:rsid w:val="005A1FD0"/>
    <w:rsid w:val="005B1174"/>
    <w:rsid w:val="005B1AD5"/>
    <w:rsid w:val="00632709"/>
    <w:rsid w:val="0064685A"/>
    <w:rsid w:val="006513C2"/>
    <w:rsid w:val="00663DCA"/>
    <w:rsid w:val="006664A1"/>
    <w:rsid w:val="0068451C"/>
    <w:rsid w:val="007267AC"/>
    <w:rsid w:val="007846B4"/>
    <w:rsid w:val="007B769A"/>
    <w:rsid w:val="007D72E1"/>
    <w:rsid w:val="007F33B0"/>
    <w:rsid w:val="00800334"/>
    <w:rsid w:val="00807D4F"/>
    <w:rsid w:val="00822038"/>
    <w:rsid w:val="008521EC"/>
    <w:rsid w:val="008B5692"/>
    <w:rsid w:val="008C1CBD"/>
    <w:rsid w:val="008E33CE"/>
    <w:rsid w:val="008E6283"/>
    <w:rsid w:val="009027A5"/>
    <w:rsid w:val="00994935"/>
    <w:rsid w:val="009A3763"/>
    <w:rsid w:val="00A00813"/>
    <w:rsid w:val="00A14757"/>
    <w:rsid w:val="00A22905"/>
    <w:rsid w:val="00A33329"/>
    <w:rsid w:val="00A4511B"/>
    <w:rsid w:val="00A92B5C"/>
    <w:rsid w:val="00AB7F71"/>
    <w:rsid w:val="00AC2E27"/>
    <w:rsid w:val="00AD7D8C"/>
    <w:rsid w:val="00B014E5"/>
    <w:rsid w:val="00B41EFF"/>
    <w:rsid w:val="00B6501E"/>
    <w:rsid w:val="00B9012F"/>
    <w:rsid w:val="00BB59FB"/>
    <w:rsid w:val="00BB5A6D"/>
    <w:rsid w:val="00BC204B"/>
    <w:rsid w:val="00BF235F"/>
    <w:rsid w:val="00C03C19"/>
    <w:rsid w:val="00C16701"/>
    <w:rsid w:val="00C20D6C"/>
    <w:rsid w:val="00C4309F"/>
    <w:rsid w:val="00C5133E"/>
    <w:rsid w:val="00C62FCC"/>
    <w:rsid w:val="00C74E31"/>
    <w:rsid w:val="00CA651A"/>
    <w:rsid w:val="00CC5B71"/>
    <w:rsid w:val="00CE081C"/>
    <w:rsid w:val="00D4356A"/>
    <w:rsid w:val="00D75CAF"/>
    <w:rsid w:val="00D76483"/>
    <w:rsid w:val="00D76F75"/>
    <w:rsid w:val="00DE2688"/>
    <w:rsid w:val="00DE5188"/>
    <w:rsid w:val="00DF7097"/>
    <w:rsid w:val="00E21057"/>
    <w:rsid w:val="00E311DA"/>
    <w:rsid w:val="00E67C9B"/>
    <w:rsid w:val="00EA3FC9"/>
    <w:rsid w:val="00EA4B15"/>
    <w:rsid w:val="00EB2494"/>
    <w:rsid w:val="00EB5446"/>
    <w:rsid w:val="00EB6075"/>
    <w:rsid w:val="00EC623E"/>
    <w:rsid w:val="00EE76FB"/>
    <w:rsid w:val="00F05C75"/>
    <w:rsid w:val="00F31F04"/>
    <w:rsid w:val="00F41559"/>
    <w:rsid w:val="00F87602"/>
    <w:rsid w:val="00F97675"/>
    <w:rsid w:val="00FD330B"/>
    <w:rsid w:val="065C63CF"/>
    <w:rsid w:val="151E3B33"/>
    <w:rsid w:val="1A0F4152"/>
    <w:rsid w:val="1ABD04C0"/>
    <w:rsid w:val="20176955"/>
    <w:rsid w:val="3C7D67B1"/>
    <w:rsid w:val="52A22A4A"/>
    <w:rsid w:val="9DF7A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4"/>
      <w:lang w:val="en-US" w:eastAsia="zh-CN" w:bidi="ar-SA"/>
    </w:rPr>
  </w:style>
  <w:style w:type="paragraph" w:styleId="4">
    <w:name w:val="heading 1"/>
    <w:basedOn w:val="1"/>
    <w:next w:val="1"/>
    <w:link w:val="28"/>
    <w:qFormat/>
    <w:uiPriority w:val="9"/>
    <w:pPr>
      <w:keepNext/>
      <w:keepLines/>
      <w:spacing w:line="588" w:lineRule="exact"/>
      <w:textAlignment w:val="center"/>
      <w:outlineLvl w:val="0"/>
    </w:pPr>
    <w:rPr>
      <w:rFonts w:eastAsia="方正黑体_GBK"/>
      <w:bCs/>
      <w:kern w:val="44"/>
      <w:sz w:val="30"/>
      <w:szCs w:val="44"/>
    </w:rPr>
  </w:style>
  <w:style w:type="paragraph" w:styleId="5">
    <w:name w:val="heading 2"/>
    <w:basedOn w:val="1"/>
    <w:next w:val="1"/>
    <w:link w:val="29"/>
    <w:qFormat/>
    <w:uiPriority w:val="9"/>
    <w:pPr>
      <w:keepNext/>
      <w:keepLines/>
      <w:spacing w:line="588" w:lineRule="exact"/>
      <w:textAlignment w:val="center"/>
      <w:outlineLvl w:val="1"/>
    </w:pPr>
    <w:rPr>
      <w:rFonts w:eastAsia="方正楷体_GBK"/>
      <w:bCs/>
      <w:sz w:val="30"/>
      <w:szCs w:val="32"/>
    </w:rPr>
  </w:style>
  <w:style w:type="paragraph" w:styleId="6">
    <w:name w:val="heading 3"/>
    <w:basedOn w:val="1"/>
    <w:next w:val="1"/>
    <w:link w:val="30"/>
    <w:qFormat/>
    <w:uiPriority w:val="9"/>
    <w:pPr>
      <w:keepNext/>
      <w:keepLines/>
      <w:spacing w:line="588" w:lineRule="exact"/>
      <w:textAlignment w:val="center"/>
      <w:outlineLvl w:val="2"/>
    </w:pPr>
    <w:rPr>
      <w:rFonts w:eastAsia="方正楷体_GBK"/>
      <w:bCs/>
      <w:sz w:val="30"/>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41"/>
    <w:qFormat/>
    <w:uiPriority w:val="0"/>
    <w:pPr>
      <w:ind w:firstLine="420"/>
    </w:pPr>
  </w:style>
  <w:style w:type="paragraph" w:styleId="3">
    <w:name w:val="Body Text Indent"/>
    <w:basedOn w:val="1"/>
    <w:next w:val="1"/>
    <w:link w:val="37"/>
    <w:qFormat/>
    <w:uiPriority w:val="99"/>
    <w:pPr>
      <w:adjustRightInd w:val="0"/>
      <w:spacing w:line="360" w:lineRule="atLeast"/>
      <w:ind w:firstLine="600" w:firstLineChars="200"/>
      <w:textAlignment w:val="baseline"/>
    </w:pPr>
    <w:rPr>
      <w:rFonts w:eastAsia="方正仿宋_GBK"/>
      <w:kern w:val="0"/>
      <w:sz w:val="30"/>
      <w:szCs w:val="20"/>
    </w:rPr>
  </w:style>
  <w:style w:type="paragraph" w:styleId="7">
    <w:name w:val="Normal Indent"/>
    <w:basedOn w:val="1"/>
    <w:next w:val="1"/>
    <w:qFormat/>
    <w:uiPriority w:val="0"/>
    <w:pPr>
      <w:spacing w:line="588" w:lineRule="exact"/>
      <w:ind w:firstLine="200" w:firstLineChars="200"/>
      <w:textAlignment w:val="center"/>
    </w:pPr>
    <w:rPr>
      <w:rFonts w:eastAsia="方正仿宋_GBK"/>
      <w:sz w:val="30"/>
      <w:szCs w:val="22"/>
    </w:rPr>
  </w:style>
  <w:style w:type="paragraph" w:styleId="8">
    <w:name w:val="Body Text"/>
    <w:basedOn w:val="1"/>
    <w:next w:val="9"/>
    <w:link w:val="38"/>
    <w:qFormat/>
    <w:uiPriority w:val="0"/>
    <w:pPr>
      <w:spacing w:after="120" w:line="588" w:lineRule="exact"/>
      <w:ind w:firstLine="200" w:firstLineChars="200"/>
      <w:textAlignment w:val="center"/>
    </w:pPr>
    <w:rPr>
      <w:rFonts w:eastAsia="方正仿宋_GBK"/>
      <w:sz w:val="30"/>
      <w:szCs w:val="22"/>
    </w:rPr>
  </w:style>
  <w:style w:type="paragraph" w:styleId="9">
    <w:name w:val="Title"/>
    <w:basedOn w:val="1"/>
    <w:next w:val="1"/>
    <w:link w:val="36"/>
    <w:qFormat/>
    <w:uiPriority w:val="10"/>
    <w:pPr>
      <w:widowControl/>
      <w:spacing w:line="588" w:lineRule="exact"/>
      <w:jc w:val="center"/>
      <w:textAlignment w:val="center"/>
    </w:pPr>
    <w:rPr>
      <w:rFonts w:eastAsia="方正小标宋简体"/>
      <w:b/>
      <w:bCs/>
      <w:sz w:val="40"/>
      <w:szCs w:val="22"/>
    </w:rPr>
  </w:style>
  <w:style w:type="paragraph" w:styleId="10">
    <w:name w:val="toc 5"/>
    <w:next w:val="1"/>
    <w:qFormat/>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uiPriority w:val="39"/>
    <w:pPr>
      <w:spacing w:line="588" w:lineRule="exact"/>
      <w:ind w:firstLine="200" w:firstLineChars="200"/>
      <w:textAlignment w:val="center"/>
    </w:pPr>
    <w:rPr>
      <w:rFonts w:eastAsia="方正仿宋_GBK"/>
      <w:sz w:val="30"/>
      <w:szCs w:val="22"/>
    </w:rPr>
  </w:style>
  <w:style w:type="paragraph" w:styleId="12">
    <w:name w:val="Balloon Text"/>
    <w:basedOn w:val="1"/>
    <w:link w:val="25"/>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33"/>
    <w:unhideWhenUsed/>
    <w:qFormat/>
    <w:uiPriority w:val="99"/>
    <w:pPr>
      <w:snapToGrid w:val="0"/>
      <w:spacing w:line="588" w:lineRule="exact"/>
      <w:ind w:firstLine="200" w:firstLineChars="200"/>
      <w:jc w:val="left"/>
      <w:textAlignment w:val="center"/>
    </w:pPr>
    <w:rPr>
      <w:rFonts w:eastAsia="方正仿宋_GBK" w:cstheme="minorBidi"/>
      <w:sz w:val="18"/>
      <w:szCs w:val="22"/>
    </w:rPr>
  </w:style>
  <w:style w:type="paragraph" w:styleId="16">
    <w:name w:val="toc 2"/>
    <w:basedOn w:val="1"/>
    <w:next w:val="1"/>
    <w:unhideWhenUsed/>
    <w:qFormat/>
    <w:uiPriority w:val="39"/>
    <w:pPr>
      <w:tabs>
        <w:tab w:val="right" w:leader="dot" w:pos="8664"/>
      </w:tabs>
      <w:spacing w:line="588" w:lineRule="exact"/>
      <w:ind w:firstLine="320" w:firstLineChars="100"/>
      <w:textAlignment w:val="center"/>
    </w:pPr>
    <w:rPr>
      <w:rFonts w:eastAsia="方正楷体_GBK"/>
      <w:sz w:val="30"/>
      <w:szCs w:val="22"/>
    </w:rPr>
  </w:style>
  <w:style w:type="paragraph" w:styleId="17">
    <w:name w:val="Normal (Web)"/>
    <w:basedOn w:val="1"/>
    <w:qFormat/>
    <w:uiPriority w:val="0"/>
    <w:pPr>
      <w:spacing w:before="100" w:beforeAutospacing="1" w:after="100" w:afterAutospacing="1" w:line="588" w:lineRule="exact"/>
      <w:ind w:firstLine="200" w:firstLineChars="200"/>
      <w:jc w:val="left"/>
      <w:textAlignment w:val="center"/>
    </w:pPr>
    <w:rPr>
      <w:rFonts w:eastAsia="方正仿宋_GBK"/>
      <w:kern w:val="0"/>
      <w:sz w:val="24"/>
      <w:szCs w:val="22"/>
    </w:rPr>
  </w:style>
  <w:style w:type="paragraph" w:styleId="18">
    <w:name w:val="Body Text First Indent"/>
    <w:basedOn w:val="8"/>
    <w:next w:val="2"/>
    <w:link w:val="39"/>
    <w:unhideWhenUsed/>
    <w:qFormat/>
    <w:uiPriority w:val="99"/>
    <w:pPr>
      <w:ind w:firstLine="420" w:firstLineChars="100"/>
    </w:pPr>
    <w:rPr>
      <w:rFonts w:ascii="等线" w:hAnsi="等线" w:eastAsia="等线"/>
      <w:sz w:val="21"/>
    </w:rPr>
  </w:style>
  <w:style w:type="character" w:styleId="21">
    <w:name w:val="Strong"/>
    <w:qFormat/>
    <w:uiPriority w:val="0"/>
    <w:rPr>
      <w:b/>
    </w:rPr>
  </w:style>
  <w:style w:type="character" w:styleId="22">
    <w:name w:val="page number"/>
    <w:qFormat/>
    <w:uiPriority w:val="0"/>
  </w:style>
  <w:style w:type="character" w:styleId="23">
    <w:name w:val="footnote reference"/>
    <w:unhideWhenUsed/>
    <w:qFormat/>
    <w:uiPriority w:val="99"/>
    <w:rPr>
      <w:vertAlign w:val="superscript"/>
    </w:rPr>
  </w:style>
  <w:style w:type="paragraph" w:customStyle="1" w:styleId="24">
    <w:name w:val="局发文正文"/>
    <w:basedOn w:val="1"/>
    <w:qFormat/>
    <w:uiPriority w:val="0"/>
    <w:pPr>
      <w:adjustRightInd w:val="0"/>
      <w:spacing w:line="600" w:lineRule="exact"/>
      <w:ind w:firstLine="200" w:firstLineChars="200"/>
    </w:pPr>
    <w:rPr>
      <w:rFonts w:ascii="仿宋_GB2312" w:eastAsia="仿宋_GB2312"/>
      <w:caps/>
      <w:spacing w:val="6"/>
      <w:kern w:val="0"/>
      <w:szCs w:val="20"/>
    </w:rPr>
  </w:style>
  <w:style w:type="character" w:customStyle="1" w:styleId="25">
    <w:name w:val="批注框文本 字符"/>
    <w:basedOn w:val="20"/>
    <w:link w:val="12"/>
    <w:semiHidden/>
    <w:qFormat/>
    <w:uiPriority w:val="99"/>
    <w:rPr>
      <w:rFonts w:ascii="Times New Roman" w:hAnsi="Times New Roman" w:eastAsia="宋体" w:cs="Times New Roman"/>
      <w:sz w:val="18"/>
      <w:szCs w:val="18"/>
    </w:rPr>
  </w:style>
  <w:style w:type="character" w:customStyle="1" w:styleId="26">
    <w:name w:val="页眉 字符"/>
    <w:basedOn w:val="20"/>
    <w:link w:val="14"/>
    <w:qFormat/>
    <w:uiPriority w:val="99"/>
    <w:rPr>
      <w:rFonts w:ascii="Times New Roman" w:hAnsi="Times New Roman" w:eastAsia="宋体" w:cs="Times New Roman"/>
      <w:sz w:val="18"/>
      <w:szCs w:val="18"/>
    </w:rPr>
  </w:style>
  <w:style w:type="character" w:customStyle="1" w:styleId="27">
    <w:name w:val="页脚 字符"/>
    <w:basedOn w:val="20"/>
    <w:link w:val="13"/>
    <w:qFormat/>
    <w:uiPriority w:val="99"/>
    <w:rPr>
      <w:rFonts w:ascii="Times New Roman" w:hAnsi="Times New Roman" w:eastAsia="宋体" w:cs="Times New Roman"/>
      <w:sz w:val="18"/>
      <w:szCs w:val="18"/>
    </w:rPr>
  </w:style>
  <w:style w:type="character" w:customStyle="1" w:styleId="28">
    <w:name w:val="标题 1 字符"/>
    <w:basedOn w:val="20"/>
    <w:link w:val="4"/>
    <w:qFormat/>
    <w:uiPriority w:val="9"/>
    <w:rPr>
      <w:rFonts w:ascii="Times New Roman" w:hAnsi="Times New Roman" w:eastAsia="方正黑体_GBK" w:cs="Times New Roman"/>
      <w:bCs/>
      <w:kern w:val="44"/>
      <w:sz w:val="30"/>
      <w:szCs w:val="44"/>
    </w:rPr>
  </w:style>
  <w:style w:type="character" w:customStyle="1" w:styleId="29">
    <w:name w:val="标题 2 字符"/>
    <w:basedOn w:val="20"/>
    <w:link w:val="5"/>
    <w:qFormat/>
    <w:uiPriority w:val="9"/>
    <w:rPr>
      <w:rFonts w:ascii="Times New Roman" w:hAnsi="Times New Roman" w:eastAsia="方正楷体_GBK" w:cs="Times New Roman"/>
      <w:bCs/>
      <w:kern w:val="2"/>
      <w:sz w:val="30"/>
      <w:szCs w:val="32"/>
    </w:rPr>
  </w:style>
  <w:style w:type="character" w:customStyle="1" w:styleId="30">
    <w:name w:val="标题 3 字符"/>
    <w:basedOn w:val="20"/>
    <w:link w:val="6"/>
    <w:qFormat/>
    <w:uiPriority w:val="9"/>
    <w:rPr>
      <w:rFonts w:ascii="Times New Roman" w:hAnsi="Times New Roman" w:eastAsia="方正楷体_GBK" w:cs="Times New Roman"/>
      <w:bCs/>
      <w:kern w:val="2"/>
      <w:sz w:val="30"/>
      <w:szCs w:val="32"/>
    </w:rPr>
  </w:style>
  <w:style w:type="character" w:customStyle="1" w:styleId="31">
    <w:name w:val="标题 2 Char"/>
    <w:qFormat/>
    <w:uiPriority w:val="0"/>
    <w:rPr>
      <w:rFonts w:ascii="Times New Roman" w:hAnsi="Times New Roman" w:eastAsia="方正楷体_GBK"/>
      <w:kern w:val="0"/>
      <w:sz w:val="30"/>
      <w:szCs w:val="20"/>
      <w:lang w:val="en-US" w:eastAsia="zh-CN" w:bidi="ar-SA"/>
    </w:rPr>
  </w:style>
  <w:style w:type="character" w:customStyle="1" w:styleId="32">
    <w:name w:val="font01"/>
    <w:qFormat/>
    <w:uiPriority w:val="0"/>
    <w:rPr>
      <w:rFonts w:hint="default" w:ascii="Times New Roman" w:hAnsi="Times New Roman" w:cs="Times New Roman"/>
      <w:color w:val="000000"/>
      <w:sz w:val="36"/>
      <w:szCs w:val="36"/>
      <w:u w:val="none"/>
    </w:rPr>
  </w:style>
  <w:style w:type="character" w:customStyle="1" w:styleId="33">
    <w:name w:val="脚注文本 字符"/>
    <w:link w:val="15"/>
    <w:qFormat/>
    <w:uiPriority w:val="99"/>
    <w:rPr>
      <w:rFonts w:ascii="Times New Roman" w:hAnsi="Times New Roman" w:eastAsia="方正仿宋_GBK"/>
      <w:kern w:val="2"/>
      <w:sz w:val="18"/>
      <w:szCs w:val="22"/>
    </w:rPr>
  </w:style>
  <w:style w:type="character" w:customStyle="1" w:styleId="34">
    <w:name w:val="标题 2 Char1"/>
    <w:qFormat/>
    <w:uiPriority w:val="0"/>
    <w:rPr>
      <w:rFonts w:eastAsia="方正楷体_GBK"/>
      <w:szCs w:val="30"/>
    </w:rPr>
  </w:style>
  <w:style w:type="character" w:customStyle="1" w:styleId="35">
    <w:name w:val="font41"/>
    <w:qFormat/>
    <w:uiPriority w:val="0"/>
    <w:rPr>
      <w:rFonts w:hint="default" w:ascii="Times New Roman" w:hAnsi="Times New Roman" w:cs="Times New Roman"/>
      <w:color w:val="000000"/>
      <w:sz w:val="24"/>
      <w:szCs w:val="24"/>
      <w:u w:val="none"/>
    </w:rPr>
  </w:style>
  <w:style w:type="character" w:customStyle="1" w:styleId="36">
    <w:name w:val="标题 字符"/>
    <w:basedOn w:val="20"/>
    <w:link w:val="9"/>
    <w:qFormat/>
    <w:uiPriority w:val="10"/>
    <w:rPr>
      <w:rFonts w:ascii="Times New Roman" w:hAnsi="Times New Roman" w:eastAsia="方正小标宋简体" w:cs="Times New Roman"/>
      <w:b/>
      <w:bCs/>
      <w:kern w:val="2"/>
      <w:sz w:val="40"/>
      <w:szCs w:val="22"/>
    </w:rPr>
  </w:style>
  <w:style w:type="character" w:customStyle="1" w:styleId="37">
    <w:name w:val="正文文本缩进 字符"/>
    <w:basedOn w:val="20"/>
    <w:link w:val="3"/>
    <w:qFormat/>
    <w:uiPriority w:val="99"/>
    <w:rPr>
      <w:rFonts w:ascii="Times New Roman" w:hAnsi="Times New Roman" w:eastAsia="方正仿宋_GBK" w:cs="Times New Roman"/>
      <w:sz w:val="30"/>
    </w:rPr>
  </w:style>
  <w:style w:type="character" w:customStyle="1" w:styleId="38">
    <w:name w:val="正文文本 字符"/>
    <w:basedOn w:val="20"/>
    <w:link w:val="8"/>
    <w:qFormat/>
    <w:uiPriority w:val="0"/>
    <w:rPr>
      <w:rFonts w:ascii="Times New Roman" w:hAnsi="Times New Roman" w:eastAsia="方正仿宋_GBK" w:cs="Times New Roman"/>
      <w:kern w:val="2"/>
      <w:sz w:val="30"/>
      <w:szCs w:val="22"/>
    </w:rPr>
  </w:style>
  <w:style w:type="character" w:customStyle="1" w:styleId="39">
    <w:name w:val="正文首行缩进 字符"/>
    <w:basedOn w:val="38"/>
    <w:link w:val="18"/>
    <w:qFormat/>
    <w:uiPriority w:val="99"/>
    <w:rPr>
      <w:rFonts w:ascii="等线" w:hAnsi="等线" w:eastAsia="等线" w:cs="Times New Roman"/>
      <w:kern w:val="2"/>
      <w:sz w:val="21"/>
      <w:szCs w:val="22"/>
    </w:rPr>
  </w:style>
  <w:style w:type="character" w:customStyle="1" w:styleId="40">
    <w:name w:val="脚注文本 字符1"/>
    <w:basedOn w:val="20"/>
    <w:semiHidden/>
    <w:qFormat/>
    <w:uiPriority w:val="99"/>
    <w:rPr>
      <w:rFonts w:ascii="Times New Roman" w:hAnsi="Times New Roman" w:eastAsia="仿宋" w:cs="Times New Roman"/>
      <w:kern w:val="2"/>
      <w:sz w:val="18"/>
      <w:szCs w:val="18"/>
    </w:rPr>
  </w:style>
  <w:style w:type="character" w:customStyle="1" w:styleId="41">
    <w:name w:val="正文首行缩进 2 字符"/>
    <w:basedOn w:val="37"/>
    <w:link w:val="2"/>
    <w:qFormat/>
    <w:uiPriority w:val="0"/>
    <w:rPr>
      <w:rFonts w:ascii="Times New Roman" w:hAnsi="Times New Roman" w:eastAsia="方正仿宋_GBK" w:cs="Times New Roman"/>
      <w:sz w:val="30"/>
    </w:rPr>
  </w:style>
  <w:style w:type="paragraph" w:customStyle="1" w:styleId="4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3">
    <w:name w:val="Body Text First Indent 21"/>
    <w:basedOn w:val="44"/>
    <w:unhideWhenUsed/>
    <w:qFormat/>
    <w:uiPriority w:val="99"/>
    <w:pPr>
      <w:ind w:left="0" w:firstLine="420"/>
    </w:pPr>
    <w:rPr>
      <w:rFonts w:hint="default" w:eastAsia="Times New Roman"/>
      <w:sz w:val="32"/>
    </w:rPr>
  </w:style>
  <w:style w:type="paragraph" w:customStyle="1" w:styleId="44">
    <w:name w:val="Body Text Indent1"/>
    <w:basedOn w:val="1"/>
    <w:unhideWhenUsed/>
    <w:qFormat/>
    <w:uiPriority w:val="99"/>
    <w:pPr>
      <w:spacing w:line="588" w:lineRule="exact"/>
      <w:ind w:left="420" w:leftChars="200" w:firstLine="200" w:firstLineChars="200"/>
      <w:textAlignment w:val="center"/>
    </w:pPr>
    <w:rPr>
      <w:rFonts w:hint="eastAsia" w:eastAsia="方正仿宋_GBK"/>
      <w:sz w:val="21"/>
      <w:szCs w:val="22"/>
    </w:rPr>
  </w:style>
  <w:style w:type="paragraph" w:customStyle="1" w:styleId="45">
    <w:name w:val="纯文本1"/>
    <w:basedOn w:val="1"/>
    <w:qFormat/>
    <w:uiPriority w:val="0"/>
    <w:pPr>
      <w:spacing w:line="588" w:lineRule="exact"/>
      <w:ind w:firstLine="200" w:firstLineChars="200"/>
      <w:textAlignment w:val="center"/>
    </w:pPr>
    <w:rPr>
      <w:rFonts w:ascii="宋体" w:hAnsi="Courier New" w:eastAsia="方正仿宋_GBK" w:cs="Courier New"/>
      <w:sz w:val="30"/>
      <w:szCs w:val="21"/>
    </w:rPr>
  </w:style>
  <w:style w:type="paragraph" w:customStyle="1" w:styleId="46">
    <w:name w:val="正文（缩进）"/>
    <w:qFormat/>
    <w:uiPriority w:val="0"/>
    <w:pPr>
      <w:widowControl w:val="0"/>
      <w:spacing w:line="594" w:lineRule="exact"/>
      <w:ind w:firstLine="482"/>
      <w:jc w:val="both"/>
    </w:pPr>
    <w:rPr>
      <w:rFonts w:ascii="仿宋_GB2312" w:hAnsi="Times New Roman" w:eastAsia="方正仿宋_GBK"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Microsoft</Company>
  <Pages>7</Pages>
  <Words>570</Words>
  <Characters>3249</Characters>
  <Lines>27</Lines>
  <Paragraphs>7</Paragraphs>
  <TotalTime>123</TotalTime>
  <ScaleCrop>false</ScaleCrop>
  <LinksUpToDate>false</LinksUpToDate>
  <CharactersWithSpaces>3812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2020-07-01T14:42:00Z</dcterms:created>
  <dc:creator>许飞(许飞:)</dc:creator>
  <cp:lastModifiedBy>user</cp:lastModifiedBy>
  <cp:lastPrinted>2020-03-24T17:11:00Z</cp:lastPrinted>
  <dcterms:modified xsi:type="dcterms:W3CDTF">2025-07-15T14:47:04Z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